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720"/>
        <w:jc w:val="both"/>
        <w:rPr>
          <w:color w:val="000000" w:themeColor="text1"/>
          <w:sz w:val="22"/>
          <w:szCs w:val="22"/>
          <w:lang w:val="sr-Cyrl-CS"/>
          <w14:textFill>
            <w14:solidFill>
              <w14:schemeClr w14:val="tx1"/>
            </w14:solidFill>
          </w14:textFill>
        </w:rPr>
      </w:pPr>
      <w:r>
        <w:rPr>
          <w:color w:val="000000" w:themeColor="text1"/>
          <w:sz w:val="22"/>
          <w:szCs w:val="22"/>
          <w14:textFill>
            <w14:solidFill>
              <w14:schemeClr w14:val="tx1"/>
            </w14:solidFill>
          </w14:textFill>
        </w:rPr>
        <w:t xml:space="preserve">На основу Решења </w:t>
      </w:r>
      <w:r>
        <w:rPr>
          <w:color w:val="000000" w:themeColor="text1"/>
          <w:sz w:val="22"/>
          <w:szCs w:val="22"/>
          <w:lang w:val="sr-Cyrl-CS"/>
          <w14:textFill>
            <w14:solidFill>
              <w14:schemeClr w14:val="tx1"/>
            </w14:solidFill>
          </w14:textFill>
        </w:rPr>
        <w:t xml:space="preserve">Привредног суда у Нишу о отварању стечајног поступка </w:t>
      </w:r>
      <w:r>
        <w:rPr>
          <w:color w:val="000000" w:themeColor="text1"/>
          <w:sz w:val="22"/>
          <w:szCs w:val="22"/>
          <w14:textFill>
            <w14:solidFill>
              <w14:schemeClr w14:val="tx1"/>
            </w14:solidFill>
          </w14:textFill>
        </w:rPr>
        <w:t>Посл.</w:t>
      </w:r>
      <w:r>
        <w:rPr>
          <w:color w:val="000000" w:themeColor="text1"/>
          <w:sz w:val="22"/>
          <w:szCs w:val="22"/>
          <w:lang w:val="sr-Cyrl-CS"/>
          <w14:textFill>
            <w14:solidFill>
              <w14:schemeClr w14:val="tx1"/>
            </w14:solidFill>
          </w14:textFill>
        </w:rPr>
        <w:t xml:space="preserve"> </w:t>
      </w:r>
      <w:r>
        <w:rPr>
          <w:color w:val="000000" w:themeColor="text1"/>
          <w:sz w:val="22"/>
          <w:szCs w:val="22"/>
          <w14:textFill>
            <w14:solidFill>
              <w14:schemeClr w14:val="tx1"/>
            </w14:solidFill>
          </w14:textFill>
        </w:rPr>
        <w:t>бр.</w:t>
      </w:r>
      <w:r>
        <w:rPr>
          <w:color w:val="000000" w:themeColor="text1"/>
          <w:sz w:val="22"/>
          <w:szCs w:val="22"/>
          <w:lang w:val="sr-Cyrl-CS"/>
          <w14:textFill>
            <w14:solidFill>
              <w14:schemeClr w14:val="tx1"/>
            </w14:solidFill>
          </w14:textFill>
        </w:rPr>
        <w:t xml:space="preserve"> </w:t>
      </w:r>
      <w:r>
        <w:rPr>
          <w:rFonts w:hint="default"/>
          <w:color w:val="000000" w:themeColor="text1"/>
          <w:sz w:val="22"/>
          <w:szCs w:val="22"/>
          <w:lang w:val="sr-Cyrl-RS"/>
          <w14:textFill>
            <w14:solidFill>
              <w14:schemeClr w14:val="tx1"/>
            </w14:solidFill>
          </w14:textFill>
        </w:rPr>
        <w:t>7</w:t>
      </w:r>
      <w:r>
        <w:rPr>
          <w:color w:val="000000" w:themeColor="text1"/>
          <w:sz w:val="22"/>
          <w:szCs w:val="22"/>
          <w:lang w:val="sr-Cyrl-CS"/>
          <w14:textFill>
            <w14:solidFill>
              <w14:schemeClr w14:val="tx1"/>
            </w14:solidFill>
          </w14:textFill>
        </w:rPr>
        <w:t xml:space="preserve"> </w:t>
      </w:r>
      <w:r>
        <w:rPr>
          <w:color w:val="000000" w:themeColor="text1"/>
          <w:sz w:val="22"/>
          <w:szCs w:val="22"/>
          <w14:textFill>
            <w14:solidFill>
              <w14:schemeClr w14:val="tx1"/>
            </w14:solidFill>
          </w14:textFill>
        </w:rPr>
        <w:t>Ст.</w:t>
      </w:r>
      <w:r>
        <w:rPr>
          <w:color w:val="000000" w:themeColor="text1"/>
          <w:sz w:val="22"/>
          <w:szCs w:val="22"/>
          <w:lang w:val="sr-Cyrl-CS"/>
          <w14:textFill>
            <w14:solidFill>
              <w14:schemeClr w14:val="tx1"/>
            </w14:solidFill>
          </w14:textFill>
        </w:rPr>
        <w:t xml:space="preserve"> </w:t>
      </w:r>
      <w:r>
        <w:rPr>
          <w:rFonts w:hint="default"/>
          <w:color w:val="000000" w:themeColor="text1"/>
          <w:sz w:val="22"/>
          <w:szCs w:val="22"/>
          <w:lang w:val="sr-Cyrl-RS"/>
          <w14:textFill>
            <w14:solidFill>
              <w14:schemeClr w14:val="tx1"/>
            </w14:solidFill>
          </w14:textFill>
        </w:rPr>
        <w:t>5/2022</w:t>
      </w:r>
      <w:r>
        <w:rPr>
          <w:color w:val="000000" w:themeColor="text1"/>
          <w:sz w:val="22"/>
          <w:szCs w:val="22"/>
          <w14:textFill>
            <w14:solidFill>
              <w14:schemeClr w14:val="tx1"/>
            </w14:solidFill>
          </w14:textFill>
        </w:rPr>
        <w:t xml:space="preserve"> од </w:t>
      </w:r>
      <w:r>
        <w:rPr>
          <w:rFonts w:hint="default"/>
          <w:color w:val="000000" w:themeColor="text1"/>
          <w:sz w:val="22"/>
          <w:szCs w:val="22"/>
          <w:lang w:val="sr-Cyrl-RS"/>
          <w14:textFill>
            <w14:solidFill>
              <w14:schemeClr w14:val="tx1"/>
            </w14:solidFill>
          </w14:textFill>
        </w:rPr>
        <w:t>25.03.2022</w:t>
      </w:r>
      <w:r>
        <w:rPr>
          <w:color w:val="000000" w:themeColor="text1"/>
          <w:sz w:val="22"/>
          <w:szCs w:val="22"/>
          <w14:textFill>
            <w14:solidFill>
              <w14:schemeClr w14:val="tx1"/>
            </w14:solidFill>
          </w14:textFill>
        </w:rPr>
        <w:t>. године</w:t>
      </w:r>
      <w:r>
        <w:rPr>
          <w:color w:val="000000" w:themeColor="text1"/>
          <w:sz w:val="22"/>
          <w:szCs w:val="22"/>
          <w:lang w:val="sr-Cyrl-CS"/>
          <w14:textFill>
            <w14:solidFill>
              <w14:schemeClr w14:val="tx1"/>
            </w14:solidFill>
          </w14:textFill>
        </w:rPr>
        <w:t xml:space="preserve"> и Решења </w:t>
      </w:r>
      <w:r>
        <w:rPr>
          <w:color w:val="000000" w:themeColor="text1"/>
          <w:sz w:val="22"/>
          <w:szCs w:val="22"/>
          <w14:textFill>
            <w14:solidFill>
              <w14:schemeClr w14:val="tx1"/>
            </w14:solidFill>
          </w14:textFill>
        </w:rPr>
        <w:t>Посл.</w:t>
      </w:r>
      <w:r>
        <w:rPr>
          <w:color w:val="000000" w:themeColor="text1"/>
          <w:sz w:val="22"/>
          <w:szCs w:val="22"/>
          <w:lang w:val="sr-Cyrl-CS"/>
          <w14:textFill>
            <w14:solidFill>
              <w14:schemeClr w14:val="tx1"/>
            </w14:solidFill>
          </w14:textFill>
        </w:rPr>
        <w:t xml:space="preserve"> </w:t>
      </w:r>
      <w:r>
        <w:rPr>
          <w:color w:val="000000" w:themeColor="text1"/>
          <w:sz w:val="22"/>
          <w:szCs w:val="22"/>
          <w14:textFill>
            <w14:solidFill>
              <w14:schemeClr w14:val="tx1"/>
            </w14:solidFill>
          </w14:textFill>
        </w:rPr>
        <w:t>бр.</w:t>
      </w:r>
      <w:r>
        <w:rPr>
          <w:color w:val="000000" w:themeColor="text1"/>
          <w:sz w:val="22"/>
          <w:szCs w:val="22"/>
          <w:lang w:val="sr-Cyrl-CS"/>
          <w14:textFill>
            <w14:solidFill>
              <w14:schemeClr w14:val="tx1"/>
            </w14:solidFill>
          </w14:textFill>
        </w:rPr>
        <w:t xml:space="preserve"> </w:t>
      </w:r>
      <w:r>
        <w:rPr>
          <w:rFonts w:hint="default"/>
          <w:color w:val="000000" w:themeColor="text1"/>
          <w:sz w:val="22"/>
          <w:szCs w:val="22"/>
          <w:lang w:val="sr-Cyrl-RS"/>
          <w14:textFill>
            <w14:solidFill>
              <w14:schemeClr w14:val="tx1"/>
            </w14:solidFill>
          </w14:textFill>
        </w:rPr>
        <w:t>7</w:t>
      </w:r>
      <w:r>
        <w:rPr>
          <w:color w:val="000000" w:themeColor="text1"/>
          <w:sz w:val="22"/>
          <w:szCs w:val="22"/>
          <w:lang w:val="sr-Cyrl-CS"/>
          <w14:textFill>
            <w14:solidFill>
              <w14:schemeClr w14:val="tx1"/>
            </w14:solidFill>
          </w14:textFill>
        </w:rPr>
        <w:t xml:space="preserve"> </w:t>
      </w:r>
      <w:r>
        <w:rPr>
          <w:color w:val="000000" w:themeColor="text1"/>
          <w:sz w:val="22"/>
          <w:szCs w:val="22"/>
          <w14:textFill>
            <w14:solidFill>
              <w14:schemeClr w14:val="tx1"/>
            </w14:solidFill>
          </w14:textFill>
        </w:rPr>
        <w:t>Ст.</w:t>
      </w:r>
      <w:r>
        <w:rPr>
          <w:color w:val="000000" w:themeColor="text1"/>
          <w:sz w:val="22"/>
          <w:szCs w:val="22"/>
          <w:lang w:val="sr-Cyrl-CS"/>
          <w14:textFill>
            <w14:solidFill>
              <w14:schemeClr w14:val="tx1"/>
            </w14:solidFill>
          </w14:textFill>
        </w:rPr>
        <w:t xml:space="preserve"> </w:t>
      </w:r>
      <w:r>
        <w:rPr>
          <w:rFonts w:hint="default"/>
          <w:color w:val="000000" w:themeColor="text1"/>
          <w:sz w:val="22"/>
          <w:szCs w:val="22"/>
          <w:lang w:val="sr-Cyrl-RS"/>
          <w14:textFill>
            <w14:solidFill>
              <w14:schemeClr w14:val="tx1"/>
            </w14:solidFill>
          </w14:textFill>
        </w:rPr>
        <w:t>5/2022</w:t>
      </w:r>
      <w:r>
        <w:rPr>
          <w:color w:val="000000" w:themeColor="text1"/>
          <w:sz w:val="22"/>
          <w:szCs w:val="22"/>
          <w14:textFill>
            <w14:solidFill>
              <w14:schemeClr w14:val="tx1"/>
            </w14:solidFill>
          </w14:textFill>
        </w:rPr>
        <w:t xml:space="preserve"> од </w:t>
      </w:r>
      <w:r>
        <w:rPr>
          <w:rFonts w:hint="default"/>
          <w:color w:val="000000" w:themeColor="text1"/>
          <w:sz w:val="22"/>
          <w:szCs w:val="22"/>
          <w:lang w:val="sr-Cyrl-RS"/>
          <w14:textFill>
            <w14:solidFill>
              <w14:schemeClr w14:val="tx1"/>
            </w14:solidFill>
          </w14:textFill>
        </w:rPr>
        <w:t>29.06.2022</w:t>
      </w:r>
      <w:r>
        <w:rPr>
          <w:color w:val="000000" w:themeColor="text1"/>
          <w:sz w:val="22"/>
          <w:szCs w:val="22"/>
          <w14:textFill>
            <w14:solidFill>
              <w14:schemeClr w14:val="tx1"/>
            </w14:solidFill>
          </w14:textFill>
        </w:rPr>
        <w:t>. године, којим се стечајни поступак наставља банкротством,</w:t>
      </w:r>
      <w:r>
        <w:rPr>
          <w:rFonts w:hint="default"/>
          <w:color w:val="000000" w:themeColor="text1"/>
          <w:sz w:val="22"/>
          <w:szCs w:val="22"/>
          <w:lang w:val="sr-Cyrl-RS"/>
          <w14:textFill>
            <w14:solidFill>
              <w14:schemeClr w14:val="tx1"/>
            </w14:solidFill>
          </w14:textFill>
        </w:rPr>
        <w:t xml:space="preserve"> сагласности Одбора поверилаца на продају стечајног дужника као правног лица од 21.07.2023. године</w:t>
      </w:r>
      <w:r>
        <w:rPr>
          <w:color w:val="000000" w:themeColor="text1"/>
          <w:sz w:val="22"/>
          <w:szCs w:val="22"/>
          <w:lang w:val="sr-Cyrl-CS"/>
          <w14:textFill>
            <w14:solidFill>
              <w14:schemeClr w14:val="tx1"/>
            </w14:solidFill>
          </w14:textFill>
        </w:rPr>
        <w:t xml:space="preserve"> а у складу са члан</w:t>
      </w:r>
      <w:r>
        <w:rPr>
          <w:color w:val="000000" w:themeColor="text1"/>
          <w:sz w:val="22"/>
          <w:szCs w:val="22"/>
          <w14:textFill>
            <w14:solidFill>
              <w14:schemeClr w14:val="tx1"/>
            </w14:solidFill>
          </w14:textFill>
        </w:rPr>
        <w:t>o</w:t>
      </w:r>
      <w:r>
        <w:rPr>
          <w:color w:val="000000" w:themeColor="text1"/>
          <w:sz w:val="22"/>
          <w:szCs w:val="22"/>
          <w:lang w:val="sr-Cyrl-CS"/>
          <w14:textFill>
            <w14:solidFill>
              <w14:schemeClr w14:val="tx1"/>
            </w14:solidFill>
          </w14:textFill>
        </w:rPr>
        <w:t xml:space="preserve">вима 131, </w:t>
      </w:r>
      <w:r>
        <w:rPr>
          <w:color w:val="000000" w:themeColor="text1"/>
          <w:sz w:val="22"/>
          <w:szCs w:val="22"/>
          <w:lang w:val="ru-RU"/>
          <w14:textFill>
            <w14:solidFill>
              <w14:schemeClr w14:val="tx1"/>
            </w14:solidFill>
          </w14:textFill>
        </w:rPr>
        <w:t>132</w:t>
      </w:r>
      <w:r>
        <w:rPr>
          <w:rFonts w:hint="default"/>
          <w:color w:val="000000" w:themeColor="text1"/>
          <w:sz w:val="22"/>
          <w:szCs w:val="22"/>
          <w:lang w:val="sr-Cyrl-RS"/>
          <w14:textFill>
            <w14:solidFill>
              <w14:schemeClr w14:val="tx1"/>
            </w14:solidFill>
          </w14:textFill>
        </w:rPr>
        <w:t>, 133.</w:t>
      </w:r>
      <w:r>
        <w:rPr>
          <w:color w:val="000000" w:themeColor="text1"/>
          <w:sz w:val="22"/>
          <w:szCs w:val="22"/>
          <w:lang w:val="ru-RU"/>
          <w14:textFill>
            <w14:solidFill>
              <w14:schemeClr w14:val="tx1"/>
            </w14:solidFill>
          </w14:textFill>
        </w:rPr>
        <w:t xml:space="preserve"> и </w:t>
      </w:r>
      <w:r>
        <w:rPr>
          <w:color w:val="000000" w:themeColor="text1"/>
          <w:sz w:val="22"/>
          <w:szCs w:val="22"/>
          <w:lang w:val="sr-Cyrl-CS"/>
          <w14:textFill>
            <w14:solidFill>
              <w14:schemeClr w14:val="tx1"/>
            </w14:solidFill>
          </w14:textFill>
        </w:rPr>
        <w:t>13</w:t>
      </w:r>
      <w:r>
        <w:rPr>
          <w:rFonts w:hint="default"/>
          <w:color w:val="000000" w:themeColor="text1"/>
          <w:sz w:val="22"/>
          <w:szCs w:val="22"/>
          <w:lang w:val="sr-Cyrl-RS"/>
          <w14:textFill>
            <w14:solidFill>
              <w14:schemeClr w14:val="tx1"/>
            </w14:solidFill>
          </w14:textFill>
        </w:rPr>
        <w:t>5</w:t>
      </w:r>
      <w:r>
        <w:rPr>
          <w:color w:val="000000" w:themeColor="text1"/>
          <w:sz w:val="22"/>
          <w:szCs w:val="22"/>
          <w:lang w:val="sr-Cyrl-CS"/>
          <w14:textFill>
            <w14:solidFill>
              <w14:schemeClr w14:val="tx1"/>
            </w14:solidFill>
          </w14:textFill>
        </w:rPr>
        <w:t>. Закона о стечају („Службени гласник РС“, бр. 104/2009, 99/2011 – др. закон, 71/2012 – одлука УС, 83/2014, 113/2017</w:t>
      </w:r>
      <w:r>
        <w:rPr>
          <w:rFonts w:hint="default"/>
          <w:color w:val="000000" w:themeColor="text1"/>
          <w:sz w:val="22"/>
          <w:szCs w:val="22"/>
          <w:lang w:val="sr-Cyrl-RS"/>
          <w14:textFill>
            <w14:solidFill>
              <w14:schemeClr w14:val="tx1"/>
            </w14:solidFill>
          </w14:textFill>
        </w:rPr>
        <w:t>,</w:t>
      </w:r>
      <w:r>
        <w:rPr>
          <w:color w:val="000000" w:themeColor="text1"/>
          <w:sz w:val="22"/>
          <w:szCs w:val="22"/>
          <w:lang w:val="sr-Cyrl-CS"/>
          <w14:textFill>
            <w14:solidFill>
              <w14:schemeClr w14:val="tx1"/>
            </w14:solidFill>
          </w14:textFill>
        </w:rPr>
        <w:t xml:space="preserve"> 44/2018</w:t>
      </w:r>
      <w:r>
        <w:rPr>
          <w:rFonts w:hint="default"/>
          <w:color w:val="000000" w:themeColor="text1"/>
          <w:sz w:val="22"/>
          <w:szCs w:val="22"/>
          <w:lang w:val="sr-Cyrl-RS"/>
          <w14:textFill>
            <w14:solidFill>
              <w14:schemeClr w14:val="tx1"/>
            </w14:solidFill>
          </w14:textFill>
        </w:rPr>
        <w:t xml:space="preserve"> и 95/2018</w:t>
      </w:r>
      <w:r>
        <w:rPr>
          <w:color w:val="000000" w:themeColor="text1"/>
          <w:sz w:val="22"/>
          <w:szCs w:val="22"/>
          <w:lang w:val="sr-Cyrl-CS"/>
          <w14:textFill>
            <w14:solidFill>
              <w14:schemeClr w14:val="tx1"/>
            </w14:solidFill>
          </w14:textFill>
        </w:rPr>
        <w:t>) и Националним стандардом број 5 – Националним стандардом о начину и поступку уновчења имовине стечајног дужника („</w:t>
      </w:r>
      <w:r>
        <w:rPr>
          <w:i/>
          <w:color w:val="000000" w:themeColor="text1"/>
          <w:sz w:val="22"/>
          <w:szCs w:val="22"/>
          <w:lang w:val="sr-Cyrl-CS"/>
          <w14:textFill>
            <w14:solidFill>
              <w14:schemeClr w14:val="tx1"/>
            </w14:solidFill>
          </w14:textFill>
        </w:rPr>
        <w:t>Службени гласник РС“  број 62/2018</w:t>
      </w:r>
      <w:r>
        <w:rPr>
          <w:color w:val="000000" w:themeColor="text1"/>
          <w:sz w:val="22"/>
          <w:szCs w:val="22"/>
          <w:lang w:val="sr-Cyrl-CS"/>
          <w14:textFill>
            <w14:solidFill>
              <w14:schemeClr w14:val="tx1"/>
            </w14:solidFill>
          </w14:textFill>
        </w:rPr>
        <w:t>), стечајни управник стечајног дужника:</w:t>
      </w:r>
    </w:p>
    <w:p>
      <w:pPr>
        <w:jc w:val="both"/>
        <w:rPr>
          <w:color w:val="000000" w:themeColor="text1"/>
          <w:sz w:val="16"/>
          <w:szCs w:val="16"/>
          <w14:textFill>
            <w14:solidFill>
              <w14:schemeClr w14:val="tx1"/>
            </w14:solidFill>
          </w14:textFill>
        </w:rPr>
      </w:pPr>
    </w:p>
    <w:p>
      <w:pPr>
        <w:widowControl/>
        <w:autoSpaceDE/>
        <w:autoSpaceDN/>
        <w:spacing w:line="330" w:lineRule="atLeast"/>
        <w:jc w:val="center"/>
        <w:textAlignment w:val="baseline"/>
        <w:rPr>
          <w:rFonts w:hint="default" w:ascii="Times New Roman" w:hAnsi="Times New Roman" w:eastAsia="Times New Roman" w:cs="Times New Roman"/>
          <w:b/>
          <w:bCs/>
          <w:color w:val="000000" w:themeColor="text1"/>
          <w:sz w:val="22"/>
          <w:szCs w:val="22"/>
          <w:lang w:val="sr-Latn-CS" w:eastAsia="sr-Latn-CS"/>
          <w14:textFill>
            <w14:solidFill>
              <w14:schemeClr w14:val="tx1"/>
            </w14:solidFill>
          </w14:textFill>
        </w:rPr>
      </w:pPr>
      <w:r>
        <w:rPr>
          <w:rFonts w:hint="default" w:ascii="Times New Roman" w:hAnsi="Times New Roman" w:eastAsia="SimSun" w:cs="Times New Roman"/>
          <w:b/>
          <w:bCs/>
          <w:color w:val="000000" w:themeColor="text1"/>
          <w:sz w:val="22"/>
          <w:szCs w:val="22"/>
          <w:lang w:val="sr-Cyrl-RS"/>
          <w14:textFill>
            <w14:solidFill>
              <w14:schemeClr w14:val="tx1"/>
            </w14:solidFill>
          </w14:textFill>
        </w:rPr>
        <w:t>АКЦИОНАРСКО ДРУШТВО АПЕТИТ - НИШ - У СТЕЧАЈУ, МБ: 20048425</w:t>
      </w:r>
    </w:p>
    <w:p>
      <w:pPr>
        <w:jc w:val="center"/>
        <w:rPr>
          <w:b/>
          <w:color w:val="000000" w:themeColor="text1"/>
          <w:sz w:val="22"/>
          <w:szCs w:val="22"/>
          <w:lang w:val="sr-Cyrl-CS"/>
          <w14:textFill>
            <w14:solidFill>
              <w14:schemeClr w14:val="tx1"/>
            </w14:solidFill>
          </w14:textFill>
        </w:rPr>
      </w:pPr>
      <w:r>
        <w:rPr>
          <w:b/>
          <w:color w:val="000000" w:themeColor="text1"/>
          <w:sz w:val="22"/>
          <w:szCs w:val="22"/>
          <w:lang w:val="sr-Cyrl-CS"/>
          <w14:textFill>
            <w14:solidFill>
              <w14:schemeClr w14:val="tx1"/>
            </w14:solidFill>
          </w14:textFill>
        </w:rPr>
        <w:t>ОГ</w:t>
      </w:r>
      <w:bookmarkStart w:id="0" w:name="_GoBack"/>
      <w:bookmarkEnd w:id="0"/>
      <w:r>
        <w:rPr>
          <w:b/>
          <w:color w:val="000000" w:themeColor="text1"/>
          <w:sz w:val="22"/>
          <w:szCs w:val="22"/>
          <w:lang w:val="sr-Cyrl-CS"/>
          <w14:textFill>
            <w14:solidFill>
              <w14:schemeClr w14:val="tx1"/>
            </w14:solidFill>
          </w14:textFill>
        </w:rPr>
        <w:t>ЛАШАВА</w:t>
      </w:r>
    </w:p>
    <w:p>
      <w:pPr>
        <w:jc w:val="center"/>
        <w:rPr>
          <w:b/>
          <w:color w:val="000000" w:themeColor="text1"/>
          <w:sz w:val="22"/>
          <w:szCs w:val="22"/>
          <w14:textFill>
            <w14:solidFill>
              <w14:schemeClr w14:val="tx1"/>
            </w14:solidFill>
          </w14:textFill>
        </w:rPr>
      </w:pPr>
      <w:r>
        <w:rPr>
          <w:b/>
          <w:color w:val="000000" w:themeColor="text1"/>
          <w:sz w:val="22"/>
          <w:szCs w:val="22"/>
          <w14:textFill>
            <w14:solidFill>
              <w14:schemeClr w14:val="tx1"/>
            </w14:solidFill>
          </w14:textFill>
        </w:rPr>
        <w:t xml:space="preserve"> </w:t>
      </w:r>
      <w:r>
        <w:rPr>
          <w:b/>
          <w:color w:val="000000" w:themeColor="text1"/>
          <w:sz w:val="22"/>
          <w:szCs w:val="22"/>
          <w:lang w:val="sr-Cyrl-CS"/>
          <w14:textFill>
            <w14:solidFill>
              <w14:schemeClr w14:val="tx1"/>
            </w14:solidFill>
          </w14:textFill>
        </w:rPr>
        <w:t xml:space="preserve">продају </w:t>
      </w:r>
      <w:r>
        <w:rPr>
          <w:rFonts w:hint="default"/>
          <w:b/>
          <w:color w:val="000000" w:themeColor="text1"/>
          <w:sz w:val="22"/>
          <w:szCs w:val="22"/>
          <w:lang w:val="sr-Cyrl-RS"/>
          <w14:textFill>
            <w14:solidFill>
              <w14:schemeClr w14:val="tx1"/>
            </w14:solidFill>
          </w14:textFill>
        </w:rPr>
        <w:t>стечајног дужника као правног лица</w:t>
      </w:r>
      <w:r>
        <w:rPr>
          <w:b/>
          <w:color w:val="000000" w:themeColor="text1"/>
          <w:sz w:val="22"/>
          <w:szCs w:val="22"/>
          <w:lang w:val="sr-Cyrl-CS"/>
          <w14:textFill>
            <w14:solidFill>
              <w14:schemeClr w14:val="tx1"/>
            </w14:solidFill>
          </w14:textFill>
        </w:rPr>
        <w:t xml:space="preserve"> јавним </w:t>
      </w:r>
      <w:r>
        <w:rPr>
          <w:b/>
          <w:color w:val="000000" w:themeColor="text1"/>
          <w:sz w:val="22"/>
          <w:szCs w:val="22"/>
          <w14:textFill>
            <w14:solidFill>
              <w14:schemeClr w14:val="tx1"/>
            </w14:solidFill>
          </w14:textFill>
        </w:rPr>
        <w:t>надметањем (</w:t>
      </w:r>
      <w:r>
        <w:rPr>
          <w:b/>
          <w:color w:val="000000" w:themeColor="text1"/>
          <w:sz w:val="22"/>
          <w:szCs w:val="22"/>
          <w:lang w:val="sr-Cyrl-RS"/>
          <w14:textFill>
            <w14:solidFill>
              <w14:schemeClr w14:val="tx1"/>
            </w14:solidFill>
          </w14:textFill>
        </w:rPr>
        <w:t>друго</w:t>
      </w:r>
      <w:r>
        <w:rPr>
          <w:b/>
          <w:color w:val="000000" w:themeColor="text1"/>
          <w:sz w:val="22"/>
          <w:szCs w:val="22"/>
          <w14:textFill>
            <w14:solidFill>
              <w14:schemeClr w14:val="tx1"/>
            </w14:solidFill>
          </w14:textFill>
        </w:rPr>
        <w:t xml:space="preserve"> јавно надметање)</w:t>
      </w:r>
    </w:p>
    <w:p>
      <w:pPr>
        <w:jc w:val="center"/>
        <w:rPr>
          <w:b/>
          <w:color w:val="000000" w:themeColor="text1"/>
          <w:sz w:val="16"/>
          <w:szCs w:val="16"/>
          <w:lang w:val="sr-Cyrl-CS"/>
          <w14:textFill>
            <w14:solidFill>
              <w14:schemeClr w14:val="tx1"/>
            </w14:solidFill>
          </w14:textFill>
        </w:rPr>
      </w:pPr>
    </w:p>
    <w:p>
      <w:pPr>
        <w:widowControl/>
        <w:autoSpaceDE/>
        <w:autoSpaceDN/>
        <w:spacing w:line="330" w:lineRule="atLeast"/>
        <w:ind w:firstLine="720" w:firstLineChars="0"/>
        <w:jc w:val="both"/>
        <w:textAlignment w:val="baseline"/>
        <w:rPr>
          <w:rFonts w:hint="default" w:ascii="Times New Roman" w:hAnsi="Times New Roman" w:cs="Times New Roman"/>
          <w:b w:val="0"/>
          <w:bCs/>
          <w:color w:val="000000" w:themeColor="text1"/>
          <w:sz w:val="22"/>
          <w:szCs w:val="22"/>
          <w:lang w:val="sr-Cyrl-RS"/>
          <w14:textFill>
            <w14:solidFill>
              <w14:schemeClr w14:val="tx1"/>
            </w14:solidFill>
          </w14:textFill>
        </w:rPr>
      </w:pPr>
      <w:r>
        <w:rPr>
          <w:rFonts w:hint="default" w:ascii="Times New Roman" w:hAnsi="Times New Roman" w:cs="Times New Roman"/>
          <w:b/>
          <w:color w:val="000000" w:themeColor="text1"/>
          <w:sz w:val="22"/>
          <w:szCs w:val="22"/>
          <w:u w:val="single"/>
          <w:lang w:val="sr-Cyrl-RS"/>
          <w14:textFill>
            <w14:solidFill>
              <w14:schemeClr w14:val="tx1"/>
            </w14:solidFill>
          </w14:textFill>
        </w:rPr>
        <w:t xml:space="preserve">Имовинска целина </w:t>
      </w:r>
      <w:r>
        <w:rPr>
          <w:rFonts w:hint="default" w:ascii="Times New Roman" w:hAnsi="Times New Roman" w:cs="Times New Roman"/>
          <w:b/>
          <w:color w:val="000000" w:themeColor="text1"/>
          <w:sz w:val="22"/>
          <w:szCs w:val="22"/>
          <w:u w:val="single"/>
          <w:lang w:val="sr-Latn-RS"/>
          <w14:textFill>
            <w14:solidFill>
              <w14:schemeClr w14:val="tx1"/>
            </w14:solidFill>
          </w14:textFill>
        </w:rPr>
        <w:t xml:space="preserve">I </w:t>
      </w:r>
      <w:r>
        <w:rPr>
          <w:rFonts w:hint="default" w:ascii="Times New Roman" w:hAnsi="Times New Roman" w:cs="Times New Roman"/>
          <w:b/>
          <w:color w:val="000000" w:themeColor="text1"/>
          <w:sz w:val="22"/>
          <w:szCs w:val="22"/>
          <w:u w:val="none"/>
          <w:lang w:val="sr-Cyrl-RS"/>
          <w14:textFill>
            <w14:solidFill>
              <w14:schemeClr w14:val="tx1"/>
            </w14:solidFill>
          </w14:textFill>
        </w:rPr>
        <w:t xml:space="preserve">- </w:t>
      </w:r>
      <w:r>
        <w:rPr>
          <w:rFonts w:hint="default" w:ascii="Times New Roman" w:hAnsi="Times New Roman" w:cs="Times New Roman"/>
          <w:b/>
          <w:color w:val="000000" w:themeColor="text1"/>
          <w:sz w:val="22"/>
          <w:szCs w:val="22"/>
          <w:u w:val="none"/>
          <w:lang w:val="sr-Cyrl-CS"/>
          <w14:textFill>
            <w14:solidFill>
              <w14:schemeClr w14:val="tx1"/>
            </w14:solidFill>
          </w14:textFill>
        </w:rPr>
        <w:t>Предмет продаје</w:t>
      </w:r>
      <w:r>
        <w:rPr>
          <w:rFonts w:hint="default" w:ascii="Times New Roman" w:hAnsi="Times New Roman" w:cs="Times New Roman"/>
          <w:b/>
          <w:color w:val="000000" w:themeColor="text1"/>
          <w:sz w:val="22"/>
          <w:szCs w:val="22"/>
          <w:u w:val="none"/>
          <w:lang w:val="sr-Cyrl-RS"/>
          <w14:textFill>
            <w14:solidFill>
              <w14:schemeClr w14:val="tx1"/>
            </w14:solidFill>
          </w14:textFill>
        </w:rPr>
        <w:t xml:space="preserve"> је стечајни дужник: </w:t>
      </w:r>
      <w:r>
        <w:rPr>
          <w:rFonts w:hint="default" w:ascii="Times New Roman" w:hAnsi="Times New Roman" w:eastAsia="SimSun" w:cs="Times New Roman"/>
          <w:b/>
          <w:bCs/>
          <w:color w:val="000000" w:themeColor="text1"/>
          <w:sz w:val="22"/>
          <w:szCs w:val="22"/>
          <w:u w:val="none"/>
          <w:lang w:val="sr-Cyrl-RS"/>
          <w14:textFill>
            <w14:solidFill>
              <w14:schemeClr w14:val="tx1"/>
            </w14:solidFill>
          </w14:textFill>
        </w:rPr>
        <w:t>“АКЦИОНАРСКО ДРУШТВО АПЕТИТ - НИШ - У СТЕЧАЈУ</w:t>
      </w:r>
      <w:r>
        <w:rPr>
          <w:rFonts w:hint="default" w:eastAsia="SimSun" w:cs="Times New Roman"/>
          <w:b/>
          <w:bCs/>
          <w:color w:val="000000" w:themeColor="text1"/>
          <w:sz w:val="22"/>
          <w:szCs w:val="22"/>
          <w:u w:val="none"/>
          <w:lang w:val="sr-Cyrl-RS"/>
          <w14:textFill>
            <w14:solidFill>
              <w14:schemeClr w14:val="tx1"/>
            </w14:solidFill>
          </w14:textFill>
        </w:rPr>
        <w:t>”</w:t>
      </w:r>
      <w:r>
        <w:rPr>
          <w:rFonts w:hint="default" w:ascii="Times New Roman" w:hAnsi="Times New Roman" w:eastAsia="SimSun" w:cs="Times New Roman"/>
          <w:b/>
          <w:bCs/>
          <w:color w:val="000000" w:themeColor="text1"/>
          <w:sz w:val="22"/>
          <w:szCs w:val="22"/>
          <w:u w:val="none"/>
          <w:lang w:val="sr-Cyrl-RS"/>
          <w14:textFill>
            <w14:solidFill>
              <w14:schemeClr w14:val="tx1"/>
            </w14:solidFill>
          </w14:textFill>
        </w:rPr>
        <w:t>, МБ: 20048425</w:t>
      </w:r>
      <w:r>
        <w:rPr>
          <w:rFonts w:hint="default" w:ascii="Times New Roman" w:hAnsi="Times New Roman" w:cs="Times New Roman"/>
          <w:b/>
          <w:bCs/>
          <w:color w:val="000000" w:themeColor="text1"/>
          <w:sz w:val="22"/>
          <w:szCs w:val="22"/>
          <w:u w:val="none"/>
          <w:lang w:val="sr-Cyrl-CS"/>
          <w14:textFill>
            <w14:solidFill>
              <w14:schemeClr w14:val="tx1"/>
            </w14:solidFill>
          </w14:textFill>
        </w:rPr>
        <w:t xml:space="preserve">, </w:t>
      </w:r>
      <w:r>
        <w:rPr>
          <w:rFonts w:hint="default" w:ascii="Times New Roman" w:hAnsi="Times New Roman" w:eastAsia="Times New Roman" w:cs="Times New Roman"/>
          <w:b/>
          <w:bCs/>
          <w:color w:val="000000" w:themeColor="text1"/>
          <w:sz w:val="22"/>
          <w:szCs w:val="22"/>
          <w:u w:val="none"/>
          <w:lang w:val="sr-Cyrl-CS" w:eastAsia="sr-Latn-CS"/>
          <w14:textFill>
            <w14:solidFill>
              <w14:schemeClr w14:val="tx1"/>
            </w14:solidFill>
          </w14:textFill>
        </w:rPr>
        <w:t>Цара Душана број 54, ПЦ Душанов базар, спрат 1, локал 119, Ниш</w:t>
      </w:r>
      <w:r>
        <w:rPr>
          <w:rFonts w:hint="default" w:ascii="Times New Roman" w:hAnsi="Times New Roman" w:eastAsia="Times New Roman" w:cs="Times New Roman"/>
          <w:b/>
          <w:bCs/>
          <w:color w:val="000000" w:themeColor="text1"/>
          <w:sz w:val="22"/>
          <w:szCs w:val="22"/>
          <w:u w:val="none"/>
          <w:lang w:val="sr-Cyrl-RS" w:eastAsia="sr-Latn-CS"/>
          <w14:textFill>
            <w14:solidFill>
              <w14:schemeClr w14:val="tx1"/>
            </w14:solidFill>
          </w14:textFill>
        </w:rPr>
        <w:t>”, као правно лице са следећом најзначајнијом имовином:</w:t>
      </w:r>
    </w:p>
    <w:p>
      <w:pPr>
        <w:ind w:firstLine="360"/>
        <w:rPr>
          <w:rFonts w:hint="default" w:ascii="Times New Roman" w:hAnsi="Times New Roman" w:cs="Times New Roman"/>
          <w:b/>
          <w:bCs w:val="0"/>
          <w:color w:val="000000" w:themeColor="text1"/>
          <w:sz w:val="22"/>
          <w:szCs w:val="22"/>
          <w:lang w:val="sr-Cyrl-RS"/>
          <w14:textFill>
            <w14:solidFill>
              <w14:schemeClr w14:val="tx1"/>
            </w14:solidFill>
          </w14:textFill>
        </w:rPr>
      </w:pPr>
      <w:r>
        <w:rPr>
          <w:rFonts w:hint="default" w:ascii="Times New Roman" w:hAnsi="Times New Roman" w:cs="Times New Roman"/>
          <w:b/>
          <w:bCs w:val="0"/>
          <w:color w:val="000000" w:themeColor="text1"/>
          <w:sz w:val="22"/>
          <w:szCs w:val="22"/>
          <w:lang w:val="sr-Cyrl-RS"/>
          <w14:textFill>
            <w14:solidFill>
              <w14:schemeClr w14:val="tx1"/>
            </w14:solidFill>
          </w14:textFill>
        </w:rPr>
        <w:t xml:space="preserve">Непокретна имовина: </w:t>
      </w:r>
    </w:p>
    <w:p>
      <w:pPr>
        <w:numPr>
          <w:ilvl w:val="0"/>
          <w:numId w:val="1"/>
        </w:numPr>
        <w:ind w:firstLine="360"/>
        <w:jc w:val="both"/>
        <w:rPr>
          <w:rFonts w:hint="default" w:ascii="Times New Roman" w:hAnsi="Times New Roman" w:cs="Times New Roman"/>
          <w:b w:val="0"/>
          <w:bCs/>
          <w:color w:val="000000" w:themeColor="text1"/>
          <w:sz w:val="22"/>
          <w:szCs w:val="22"/>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lang w:val="sr-Cyrl-RS"/>
          <w14:textFill>
            <w14:solidFill>
              <w14:schemeClr w14:val="tx1"/>
            </w14:solidFill>
          </w14:textFill>
        </w:rPr>
        <w:t>Градско грађевинско земљиште</w:t>
      </w:r>
      <w:r>
        <w:rPr>
          <w:rFonts w:hint="default" w:ascii="Times New Roman" w:hAnsi="Times New Roman" w:cs="Times New Roman"/>
          <w:b w:val="0"/>
          <w:bCs/>
          <w:color w:val="000000" w:themeColor="text1"/>
          <w:sz w:val="22"/>
          <w:szCs w:val="22"/>
          <w:lang w:val="sr-Cyrl-RS"/>
          <w14:textFill>
            <w14:solidFill>
              <w14:schemeClr w14:val="tx1"/>
            </w14:solidFill>
          </w14:textFill>
        </w:rPr>
        <w:t xml:space="preserve"> - земљиште под зградом и другим објектом, К.О. Бела Паланка - варош, </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К.П. број: 1336, број дела парцеле: 4, улица: Партизански пут, </w:t>
      </w:r>
      <w:r>
        <w:rPr>
          <w:rFonts w:hint="default" w:ascii="Times New Roman" w:hAnsi="Times New Roman" w:cs="Times New Roman"/>
          <w:b w:val="0"/>
          <w:bCs/>
          <w:color w:val="000000" w:themeColor="text1"/>
          <w:sz w:val="22"/>
          <w:szCs w:val="22"/>
          <w:lang w:val="sr-Cyrl-RS"/>
          <w14:textFill>
            <w14:solidFill>
              <w14:schemeClr w14:val="tx1"/>
            </w14:solidFill>
          </w14:textFill>
        </w:rPr>
        <w:t>површина: 302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врста права: својина, облик својине: приватна, удео: 1/2, са следећим објектом:</w:t>
      </w:r>
    </w:p>
    <w:p>
      <w:pPr>
        <w:numPr>
          <w:ilvl w:val="0"/>
          <w:numId w:val="0"/>
        </w:numPr>
        <w:ind w:left="0" w:leftChars="0" w:firstLine="480" w:firstLineChars="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vertAlign w:val="baseline"/>
          <w:lang w:val="sr-Cyrl-RS"/>
          <w14:textFill>
            <w14:solidFill>
              <w14:schemeClr w14:val="tx1"/>
            </w14:solidFill>
          </w14:textFill>
        </w:rPr>
        <w:t>Објекат број: 4</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назив улице: Партизански пут, кућни број: 80, </w:t>
      </w:r>
      <w:r>
        <w:rPr>
          <w:rFonts w:hint="default" w:ascii="Times New Roman" w:hAnsi="Times New Roman" w:cs="Times New Roman"/>
          <w:b w:val="0"/>
          <w:bCs/>
          <w:color w:val="000000" w:themeColor="text1"/>
          <w:sz w:val="22"/>
          <w:szCs w:val="22"/>
          <w:lang w:val="sr-Cyrl-RS"/>
          <w14:textFill>
            <w14:solidFill>
              <w14:schemeClr w14:val="tx1"/>
            </w14:solidFill>
          </w14:textFill>
        </w:rPr>
        <w:t>површина: 302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начин коришћења објекта и назив: стамбено - пословна зграда - зграда трговине, правни статус објекта: објекат има одобрење за употребу, број етажа у приземљу: 1, врста права: својина, облик својине: приватна, удео: 1/2, све уписано у Л.Н. број: 527, општина Бела Паланка.</w:t>
      </w:r>
    </w:p>
    <w:p>
      <w:pPr>
        <w:numPr>
          <w:ilvl w:val="0"/>
          <w:numId w:val="0"/>
        </w:numPr>
        <w:ind w:left="0" w:leftChars="0" w:firstLine="480" w:firstLineChars="0"/>
        <w:jc w:val="both"/>
        <w:rPr>
          <w:rFonts w:hint="default" w:ascii="Times New Roman" w:hAnsi="Times New Roman" w:cs="Times New Roman"/>
          <w:b w:val="0"/>
          <w:bCs/>
          <w:color w:val="000000" w:themeColor="text1"/>
          <w:sz w:val="22"/>
          <w:szCs w:val="22"/>
          <w:vertAlign w:val="baseline"/>
          <w:lang w:val="en-US"/>
          <w14:textFill>
            <w14:solidFill>
              <w14:schemeClr w14:val="tx1"/>
            </w14:solidFill>
          </w14:textFill>
        </w:rPr>
      </w:pP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Објекат је изграђен: темељ: армирано бетонски, носећа конструкција: масивна, зидана, кровна конструкција: раван и вишеводни кров. Објекат се користи као малопродајни</w:t>
      </w:r>
      <w:r>
        <w:rPr>
          <w:rFonts w:hint="default" w:cs="Times New Roman"/>
          <w:b w:val="0"/>
          <w:bCs/>
          <w:color w:val="000000" w:themeColor="text1"/>
          <w:sz w:val="22"/>
          <w:szCs w:val="22"/>
          <w:vertAlign w:val="baseline"/>
          <w:lang w:val="en-US"/>
          <w14:textFill>
            <w14:solidFill>
              <w14:schemeClr w14:val="tx1"/>
            </w14:solidFill>
          </w14:textFill>
        </w:rPr>
        <w:t>.</w:t>
      </w:r>
    </w:p>
    <w:p>
      <w:pPr>
        <w:numPr>
          <w:ilvl w:val="0"/>
          <w:numId w:val="1"/>
        </w:numPr>
        <w:ind w:firstLine="360"/>
        <w:jc w:val="both"/>
        <w:rPr>
          <w:rFonts w:hint="default" w:ascii="Times New Roman" w:hAnsi="Times New Roman" w:cs="Times New Roman"/>
          <w:b w:val="0"/>
          <w:bCs/>
          <w:color w:val="000000" w:themeColor="text1"/>
          <w:sz w:val="22"/>
          <w:szCs w:val="22"/>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lang w:val="sr-Cyrl-RS"/>
          <w14:textFill>
            <w14:solidFill>
              <w14:schemeClr w14:val="tx1"/>
            </w14:solidFill>
          </w14:textFill>
        </w:rPr>
        <w:t>Објекат број: 1</w:t>
      </w:r>
      <w:r>
        <w:rPr>
          <w:rFonts w:hint="default" w:ascii="Times New Roman" w:hAnsi="Times New Roman" w:cs="Times New Roman"/>
          <w:b w:val="0"/>
          <w:bCs/>
          <w:color w:val="000000" w:themeColor="text1"/>
          <w:sz w:val="22"/>
          <w:szCs w:val="22"/>
          <w:lang w:val="sr-Cyrl-RS"/>
          <w14:textFill>
            <w14:solidFill>
              <w14:schemeClr w14:val="tx1"/>
            </w14:solidFill>
          </w14:textFill>
        </w:rPr>
        <w:t>, назив улице: Бранка Миловановића, кућни број: 5, површина: 423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начин коришћења и назив објекта: зграда прехрамбене индустрије и производње пића - магацин жита, правни статус објекта: објекат има одобрење за употребу, број етажа под земљом: 1, број етажа у приземљу: 1, врста права: својина, облик својине: приватна, удео: 1/1</w:t>
      </w:r>
      <w:r>
        <w:rPr>
          <w:rFonts w:hint="default" w:ascii="Times New Roman" w:hAnsi="Times New Roman" w:cs="Times New Roman"/>
          <w:b w:val="0"/>
          <w:bCs/>
          <w:color w:val="000000" w:themeColor="text1"/>
          <w:sz w:val="22"/>
          <w:szCs w:val="22"/>
          <w:vertAlign w:val="baseline"/>
          <w:lang w:val="sr-Latn-RS"/>
          <w14:textFill>
            <w14:solidFill>
              <w14:schemeClr w14:val="tx1"/>
            </w14:solidFill>
          </w14:textFill>
        </w:rPr>
        <w:t>,</w:t>
      </w:r>
    </w:p>
    <w:p>
      <w:pPr>
        <w:numPr>
          <w:ilvl w:val="0"/>
          <w:numId w:val="0"/>
        </w:numPr>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изграђен на К.П. број: 1192, број дела парцеле: 1, К.О. Бела Паланка - варош, све уписано у Л.Н. број: 122, општина Бела Паланка.</w:t>
      </w:r>
    </w:p>
    <w:p>
      <w:pPr>
        <w:numPr>
          <w:ilvl w:val="0"/>
          <w:numId w:val="0"/>
        </w:numPr>
        <w:jc w:val="both"/>
        <w:rPr>
          <w:rFonts w:hint="default" w:ascii="Times New Roman" w:hAnsi="Times New Roman" w:cs="Times New Roman"/>
          <w:b w:val="0"/>
          <w:bCs/>
          <w:color w:val="000000" w:themeColor="text1"/>
          <w:sz w:val="22"/>
          <w:szCs w:val="22"/>
          <w:vertAlign w:val="baseline"/>
          <w:lang w:val="en-US"/>
          <w14:textFill>
            <w14:solidFill>
              <w14:schemeClr w14:val="tx1"/>
            </w14:solidFill>
          </w14:textFill>
        </w:rPr>
      </w:pP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ab/>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Објекат је изграђен: темељ: камени, носећа конструкција. Масивна, зидана, кровна конструкција: класична дрвена са покривачем од црепа. Површина у основи: 423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спратност објекта је: По + Пр. Објекат се користи као магацински. Део објекта се може користити као </w:t>
      </w:r>
      <w:r>
        <w:rPr>
          <w:rFonts w:hint="default" w:cs="Times New Roman"/>
          <w:b w:val="0"/>
          <w:bCs/>
          <w:color w:val="000000" w:themeColor="text1"/>
          <w:sz w:val="22"/>
          <w:szCs w:val="22"/>
          <w:vertAlign w:val="baseline"/>
          <w:lang w:val="sr-Cyrl-RS"/>
          <w14:textFill>
            <w14:solidFill>
              <w14:schemeClr w14:val="tx1"/>
            </w14:solidFill>
          </w14:textFill>
        </w:rPr>
        <w:t>канцеларијски</w:t>
      </w:r>
      <w:r>
        <w:rPr>
          <w:rFonts w:hint="default" w:cs="Times New Roman"/>
          <w:b w:val="0"/>
          <w:bCs/>
          <w:color w:val="000000" w:themeColor="text1"/>
          <w:sz w:val="22"/>
          <w:szCs w:val="22"/>
          <w:vertAlign w:val="baseline"/>
          <w:lang w:val="en-US"/>
          <w14:textFill>
            <w14:solidFill>
              <w14:schemeClr w14:val="tx1"/>
            </w14:solidFill>
          </w14:textFill>
        </w:rPr>
        <w:t>.</w:t>
      </w:r>
    </w:p>
    <w:p>
      <w:pPr>
        <w:numPr>
          <w:ilvl w:val="0"/>
          <w:numId w:val="1"/>
        </w:numPr>
        <w:ind w:left="0" w:leftChars="0" w:firstLine="360" w:firstLineChars="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lang w:val="sr-Cyrl-RS"/>
          <w14:textFill>
            <w14:solidFill>
              <w14:schemeClr w14:val="tx1"/>
            </w14:solidFill>
          </w14:textFill>
        </w:rPr>
        <w:t>Објекат број 1</w:t>
      </w:r>
      <w:r>
        <w:rPr>
          <w:rFonts w:hint="default" w:ascii="Times New Roman" w:hAnsi="Times New Roman" w:cs="Times New Roman"/>
          <w:b w:val="0"/>
          <w:bCs/>
          <w:color w:val="000000" w:themeColor="text1"/>
          <w:sz w:val="22"/>
          <w:szCs w:val="22"/>
          <w:lang w:val="sr-Cyrl-RS"/>
          <w14:textFill>
            <w14:solidFill>
              <w14:schemeClr w14:val="tx1"/>
            </w14:solidFill>
          </w14:textFill>
        </w:rPr>
        <w:t>, назив улице: Карађорђева, кућни број: 58/1, евиденциони број: 4, начин коришћења: пословни простор трговине, број посебног дела: 11, спратност: приземље, собност: пословни простор - једна просторија, корисна површина: 72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врста права: држалац, облик својине: приватна, удео: 1/1,  изграђен на К.П. број: 203, број дела парцеле: 1, К.О. Бела Паланка - варош, све уписано у Л.Н. број: 875, општина Бела Паланка</w:t>
      </w:r>
      <w:r>
        <w:rPr>
          <w:rFonts w:hint="default" w:cs="Times New Roman"/>
          <w:b w:val="0"/>
          <w:bCs/>
          <w:color w:val="000000" w:themeColor="text1"/>
          <w:sz w:val="22"/>
          <w:szCs w:val="22"/>
          <w:vertAlign w:val="baseline"/>
          <w:lang w:val="en-US"/>
          <w14:textFill>
            <w14:solidFill>
              <w14:schemeClr w14:val="tx1"/>
            </w14:solidFill>
          </w14:textFill>
        </w:rPr>
        <w:t>.</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ab/>
      </w:r>
    </w:p>
    <w:p>
      <w:pPr>
        <w:numPr>
          <w:ilvl w:val="0"/>
          <w:numId w:val="1"/>
        </w:numPr>
        <w:ind w:left="0" w:leftChars="0" w:firstLine="360" w:firstLineChars="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lang w:val="sr-Cyrl-RS"/>
          <w14:textFill>
            <w14:solidFill>
              <w14:schemeClr w14:val="tx1"/>
            </w14:solidFill>
          </w14:textFill>
        </w:rPr>
        <w:t>Објекат број: 1</w:t>
      </w:r>
      <w:r>
        <w:rPr>
          <w:rFonts w:hint="default" w:ascii="Times New Roman" w:hAnsi="Times New Roman" w:cs="Times New Roman"/>
          <w:b w:val="0"/>
          <w:bCs/>
          <w:color w:val="000000" w:themeColor="text1"/>
          <w:sz w:val="22"/>
          <w:szCs w:val="22"/>
          <w:lang w:val="sr-Cyrl-RS"/>
          <w14:textFill>
            <w14:solidFill>
              <w14:schemeClr w14:val="tx1"/>
            </w14:solidFill>
          </w14:textFill>
        </w:rPr>
        <w:t>, назив улице: Карађорђева, кућни број: 58/2, евиденциони број: 5, начин коришћења: пословни простор трговине, број посебног дела: 12, спратност: подрум, собност: пословни простор - једна просторија, корисна површина: 12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врста права: држалац, облик својине: приватна, удео: 1/1,  изграђен на К.П. број: 203, број дела парцеле: 1, К.О. Бела Паланка - варош, све уписано у Л.Н. број: 875, општина Бела Паланка</w:t>
      </w:r>
      <w:r>
        <w:rPr>
          <w:rFonts w:hint="default" w:cs="Times New Roman"/>
          <w:b w:val="0"/>
          <w:bCs/>
          <w:color w:val="000000" w:themeColor="text1"/>
          <w:sz w:val="22"/>
          <w:szCs w:val="22"/>
          <w:vertAlign w:val="baseline"/>
          <w:lang w:val="en-US"/>
          <w14:textFill>
            <w14:solidFill>
              <w14:schemeClr w14:val="tx1"/>
            </w14:solidFill>
          </w14:textFill>
        </w:rPr>
        <w:t>.</w:t>
      </w:r>
    </w:p>
    <w:p>
      <w:pPr>
        <w:numPr>
          <w:ilvl w:val="0"/>
          <w:numId w:val="0"/>
        </w:numPr>
        <w:ind w:left="0" w:leftChars="0" w:firstLine="480" w:firstLineChars="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Објекти у улици Карађорђева број 58/1 и 58/2 се налазе у објекту спратности: По + Пр + 4Сп и повезани су у функционалну целину и приведени су намени малопродајног објекта.</w:t>
      </w:r>
    </w:p>
    <w:p>
      <w:pPr>
        <w:numPr>
          <w:ilvl w:val="0"/>
          <w:numId w:val="1"/>
        </w:numPr>
        <w:ind w:left="0" w:leftChars="0" w:firstLine="360" w:firstLineChars="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lang w:val="sr-Cyrl-RS"/>
          <w14:textFill>
            <w14:solidFill>
              <w14:schemeClr w14:val="tx1"/>
            </w14:solidFill>
          </w14:textFill>
        </w:rPr>
        <w:t>Објекат број: 1</w:t>
      </w:r>
      <w:r>
        <w:rPr>
          <w:rFonts w:hint="default" w:ascii="Times New Roman" w:hAnsi="Times New Roman" w:cs="Times New Roman"/>
          <w:b w:val="0"/>
          <w:bCs/>
          <w:color w:val="000000" w:themeColor="text1"/>
          <w:sz w:val="22"/>
          <w:szCs w:val="22"/>
          <w:lang w:val="sr-Cyrl-RS"/>
          <w14:textFill>
            <w14:solidFill>
              <w14:schemeClr w14:val="tx1"/>
            </w14:solidFill>
          </w14:textFill>
        </w:rPr>
        <w:t>, назив улице: Саве Ковачевића, број улаза: 2, евиденциони број: 8, начин коришћења: пословни простор трговине, број посебног дела: 17, спратност: приземље, собност: пословни простор - три просторије, корисна површина: 219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врста права: својина, облик својине: приватна, удео: 1/1, изграђен на К.П. број: 625/6, број дела парцеле: 1, К.О. Бела Паланка - варош, све уписано у Л.Н. број: 632, општина Бела Паланка</w:t>
      </w:r>
      <w:r>
        <w:rPr>
          <w:rFonts w:hint="default" w:cs="Times New Roman"/>
          <w:b w:val="0"/>
          <w:bCs/>
          <w:color w:val="000000" w:themeColor="text1"/>
          <w:sz w:val="22"/>
          <w:szCs w:val="22"/>
          <w:vertAlign w:val="baseline"/>
          <w:lang w:val="en-US"/>
          <w14:textFill>
            <w14:solidFill>
              <w14:schemeClr w14:val="tx1"/>
            </w14:solidFill>
          </w14:textFill>
        </w:rPr>
        <w:t>.</w:t>
      </w:r>
    </w:p>
    <w:p>
      <w:pPr>
        <w:numPr>
          <w:ilvl w:val="0"/>
          <w:numId w:val="0"/>
        </w:numPr>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ab/>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Објекат се налази у приземљу објекта следеће спратности: По + Пр + 4Сп. Наведени објекат је коришћен делом за малопродају а делом за пословне просторије. </w:t>
      </w:r>
    </w:p>
    <w:p>
      <w:pPr>
        <w:numPr>
          <w:ilvl w:val="0"/>
          <w:numId w:val="1"/>
        </w:numPr>
        <w:ind w:left="0" w:leftChars="0" w:firstLine="360" w:firstLineChars="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vertAlign w:val="baseline"/>
          <w:lang w:val="sr-Cyrl-RS"/>
          <w14:textFill>
            <w14:solidFill>
              <w14:schemeClr w14:val="tx1"/>
            </w14:solidFill>
          </w14:textFill>
        </w:rPr>
        <w:t>Пољопривредно земљиште</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 пашњак 2. класе, потес / улица: кућни плац, К.П. бр: 5370/3, К.О. Клисура, број дела: 1, површина: 31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врста права: својина, облик својине: приватна, удео: 1/1, све уписано у Л.Н. број 1098, К.О. Клисура, Општина Бела Паланка,</w:t>
      </w:r>
      <w:r>
        <w:rPr>
          <w:rFonts w:hint="default" w:cs="Times New Roman"/>
          <w:b w:val="0"/>
          <w:bCs/>
          <w:color w:val="000000" w:themeColor="text1"/>
          <w:sz w:val="22"/>
          <w:szCs w:val="22"/>
          <w:vertAlign w:val="baseline"/>
          <w:lang w:val="en-US"/>
          <w14:textFill>
            <w14:solidFill>
              <w14:schemeClr w14:val="tx1"/>
            </w14:solidFill>
          </w14:textFill>
        </w:rPr>
        <w:t xml:space="preserve"> </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са </w:t>
      </w:r>
      <w:r>
        <w:rPr>
          <w:rFonts w:hint="default" w:ascii="Times New Roman" w:hAnsi="Times New Roman" w:cs="Times New Roman"/>
          <w:b w:val="0"/>
          <w:bCs/>
          <w:color w:val="000000" w:themeColor="text1"/>
          <w:sz w:val="22"/>
          <w:szCs w:val="22"/>
          <w:u w:val="single"/>
          <w:vertAlign w:val="baseline"/>
          <w:lang w:val="sr-Cyrl-RS"/>
          <w14:textFill>
            <w14:solidFill>
              <w14:schemeClr w14:val="tx1"/>
            </w14:solidFill>
          </w14:textFill>
        </w:rPr>
        <w:t>изграђеним ванкњижним објектом</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укупне бруто површине 22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година изградње: 1960. година.</w:t>
      </w:r>
      <w:r>
        <w:rPr>
          <w:rFonts w:hint="default" w:cs="Times New Roman"/>
          <w:b w:val="0"/>
          <w:bCs/>
          <w:color w:val="000000" w:themeColor="text1"/>
          <w:sz w:val="22"/>
          <w:szCs w:val="22"/>
          <w:vertAlign w:val="baseline"/>
          <w:lang w:val="en-US"/>
          <w14:textFill>
            <w14:solidFill>
              <w14:schemeClr w14:val="tx1"/>
            </w14:solidFill>
          </w14:textFill>
        </w:rPr>
        <w:t xml:space="preserve"> </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Објекат је коришћен за малопродају</w:t>
      </w:r>
      <w:r>
        <w:rPr>
          <w:rFonts w:hint="default" w:cs="Times New Roman"/>
          <w:b w:val="0"/>
          <w:bCs/>
          <w:color w:val="000000" w:themeColor="text1"/>
          <w:sz w:val="22"/>
          <w:szCs w:val="22"/>
          <w:vertAlign w:val="baseline"/>
          <w:lang w:val="en-US"/>
          <w14:textFill>
            <w14:solidFill>
              <w14:schemeClr w14:val="tx1"/>
            </w14:solidFill>
          </w14:textFill>
        </w:rPr>
        <w:t>.</w:t>
      </w:r>
    </w:p>
    <w:p>
      <w:pPr>
        <w:numPr>
          <w:ilvl w:val="0"/>
          <w:numId w:val="1"/>
        </w:numPr>
        <w:ind w:left="0" w:leftChars="0" w:firstLine="360" w:firstLineChars="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vertAlign w:val="baseline"/>
          <w:lang w:val="sr-Cyrl-RS"/>
          <w14:textFill>
            <w14:solidFill>
              <w14:schemeClr w14:val="tx1"/>
            </w14:solidFill>
          </w14:textFill>
        </w:rPr>
        <w:t>Градско грађевинско земљиште</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 земљиште под зградом и другим објектом, број парцеле: 5653/1 К.О. Нишка Бања, број дела: 1, површина: 106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врста права: својина, облик својине: приватна, удео: 1/6, са следећим објектом: </w:t>
      </w:r>
    </w:p>
    <w:p>
      <w:pPr>
        <w:numPr>
          <w:ilvl w:val="0"/>
          <w:numId w:val="0"/>
        </w:numPr>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vertAlign w:val="baseline"/>
          <w:lang w:val="sr-Cyrl-RS"/>
          <w14:textFill>
            <w14:solidFill>
              <w14:schemeClr w14:val="tx1"/>
            </w14:solidFill>
          </w14:textFill>
        </w:rPr>
        <w:t>број објекта: 1</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назив улице: Заплањска, кућни број: 174, површина: 106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број етажа у приземљу: 1, број етажа над земљом: 1, број етажа у поткровљу: 1, врста права: држалац, облик својине: приватна, удео: 1/2,</w:t>
      </w:r>
      <w:r>
        <w:rPr>
          <w:rFonts w:hint="default" w:cs="Times New Roman"/>
          <w:b w:val="0"/>
          <w:bCs/>
          <w:color w:val="000000" w:themeColor="text1"/>
          <w:sz w:val="22"/>
          <w:szCs w:val="22"/>
          <w:vertAlign w:val="baseline"/>
          <w:lang w:val="en-US"/>
          <w14:textFill>
            <w14:solidFill>
              <w14:schemeClr w14:val="tx1"/>
            </w14:solidFill>
          </w14:textFill>
        </w:rPr>
        <w:t xml:space="preserve"> </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све уписано у Л.Н. број: 2384, К.О. Нишка Бања, Општина: Нишка Бања.</w:t>
      </w:r>
    </w:p>
    <w:p>
      <w:pPr>
        <w:numPr>
          <w:ilvl w:val="0"/>
          <w:numId w:val="0"/>
        </w:numPr>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Спратност објекта: Пр + 1Сп + Пк, површина објекта у основи: 106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бруто површина објекта: 275 м</w:t>
      </w:r>
      <w:r>
        <w:rPr>
          <w:rFonts w:hint="default" w:ascii="Times New Roman" w:hAnsi="Times New Roman" w:cs="Times New Roman"/>
          <w:b w:val="0"/>
          <w:bCs/>
          <w:color w:val="000000" w:themeColor="text1"/>
          <w:sz w:val="22"/>
          <w:szCs w:val="22"/>
          <w:vertAlign w:val="superscript"/>
          <w:lang w:val="sr-Cyrl-RS"/>
          <w14:textFill>
            <w14:solidFill>
              <w14:schemeClr w14:val="tx1"/>
            </w14:solidFill>
          </w14:textFill>
        </w:rPr>
        <w:t>2</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Објекат се користи као стамбени.</w:t>
      </w:r>
    </w:p>
    <w:p>
      <w:pPr>
        <w:numPr>
          <w:ilvl w:val="0"/>
          <w:numId w:val="0"/>
        </w:numPr>
        <w:ind w:left="360" w:leftChars="0"/>
        <w:jc w:val="both"/>
        <w:rPr>
          <w:rFonts w:hint="default" w:ascii="Times New Roman" w:hAnsi="Times New Roman" w:cs="Times New Roman"/>
          <w:b/>
          <w:bCs w:val="0"/>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bCs w:val="0"/>
          <w:color w:val="000000" w:themeColor="text1"/>
          <w:sz w:val="22"/>
          <w:szCs w:val="22"/>
          <w:vertAlign w:val="baseline"/>
          <w:lang w:val="sr-Cyrl-RS"/>
          <w14:textFill>
            <w14:solidFill>
              <w14:schemeClr w14:val="tx1"/>
            </w14:solidFill>
          </w14:textFill>
        </w:rPr>
        <w:t xml:space="preserve">Покретна имовина: </w:t>
      </w:r>
    </w:p>
    <w:p>
      <w:pPr>
        <w:numPr>
          <w:ilvl w:val="0"/>
          <w:numId w:val="2"/>
        </w:numPr>
        <w:ind w:left="0" w:leftChars="0" w:firstLine="440" w:firstLineChars="20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vertAlign w:val="baseline"/>
          <w:lang w:val="sr-Cyrl-RS"/>
          <w14:textFill>
            <w14:solidFill>
              <w14:schemeClr w14:val="tx1"/>
            </w14:solidFill>
          </w14:textFill>
        </w:rPr>
        <w:t>Машине и опрема за пекару</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спирална месилица за тесто, ротационо сито за брашно, производна линија за пекару са пратећом опремом, машина за завијање теста, машина за округло обликовање теста, ламинатор за развлачење теста, гајбе за хлеб, плехови, точкићи за колица. Машине и опрема су коришћени за производњу хлеба</w:t>
      </w:r>
      <w:r>
        <w:rPr>
          <w:rFonts w:hint="default" w:cs="Times New Roman"/>
          <w:b w:val="0"/>
          <w:bCs/>
          <w:color w:val="000000" w:themeColor="text1"/>
          <w:sz w:val="22"/>
          <w:szCs w:val="22"/>
          <w:vertAlign w:val="baseline"/>
          <w:lang w:val="en-US"/>
          <w14:textFill>
            <w14:solidFill>
              <w14:schemeClr w14:val="tx1"/>
            </w14:solidFill>
          </w14:textFill>
        </w:rPr>
        <w:t>.</w:t>
      </w:r>
    </w:p>
    <w:p>
      <w:pPr>
        <w:numPr>
          <w:ilvl w:val="0"/>
          <w:numId w:val="2"/>
        </w:numPr>
        <w:ind w:left="0" w:leftChars="0" w:firstLine="440" w:firstLineChars="20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vertAlign w:val="baseline"/>
          <w:lang w:val="sr-Cyrl-RS"/>
          <w14:textFill>
            <w14:solidFill>
              <w14:schemeClr w14:val="tx1"/>
            </w14:solidFill>
          </w14:textFill>
        </w:rPr>
        <w:t>Опрема и инвентар</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рачунари, рафови, полице, расхладне витрине и остало. Опрема и инвентар су углавном уграђени у објекте и коришћени су за делатност малопродаје;</w:t>
      </w:r>
    </w:p>
    <w:p>
      <w:pPr>
        <w:numPr>
          <w:ilvl w:val="0"/>
          <w:numId w:val="2"/>
        </w:numPr>
        <w:ind w:left="0" w:leftChars="0" w:firstLine="440" w:firstLineChars="20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vertAlign w:val="baseline"/>
          <w:lang w:val="sr-Cyrl-RS"/>
          <w14:textFill>
            <w14:solidFill>
              <w14:schemeClr w14:val="tx1"/>
            </w14:solidFill>
          </w14:textFill>
        </w:rPr>
        <w:t>Залихе робе</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 роба без рока трајања</w:t>
      </w:r>
      <w:r>
        <w:rPr>
          <w:rFonts w:hint="default" w:cs="Times New Roman"/>
          <w:b w:val="0"/>
          <w:bCs/>
          <w:color w:val="000000" w:themeColor="text1"/>
          <w:sz w:val="22"/>
          <w:szCs w:val="22"/>
          <w:vertAlign w:val="baseline"/>
          <w:lang w:val="en-US"/>
          <w14:textFill>
            <w14:solidFill>
              <w14:schemeClr w14:val="tx1"/>
            </w14:solidFill>
          </w14:textFill>
        </w:rPr>
        <w:t>.</w:t>
      </w:r>
    </w:p>
    <w:p>
      <w:pPr>
        <w:numPr>
          <w:ilvl w:val="0"/>
          <w:numId w:val="2"/>
        </w:numPr>
        <w:ind w:left="0" w:leftChars="0" w:firstLine="440" w:firstLineChars="20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vertAlign w:val="baseline"/>
          <w:lang w:val="sr-Cyrl-RS"/>
          <w14:textFill>
            <w14:solidFill>
              <w14:schemeClr w14:val="tx1"/>
            </w14:solidFill>
          </w14:textFill>
        </w:rPr>
        <w:t>Акције</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w:t>
      </w:r>
      <w:r>
        <w:rPr>
          <w:rFonts w:hint="default" w:ascii="Times New Roman" w:hAnsi="Times New Roman" w:cs="Times New Roman"/>
          <w:b w:val="0"/>
          <w:bCs/>
          <w:color w:val="000000" w:themeColor="text1"/>
          <w:sz w:val="22"/>
          <w:szCs w:val="22"/>
          <w:vertAlign w:val="baseline"/>
          <w:lang w:val="sr-Latn-RS"/>
          <w14:textFill>
            <w14:solidFill>
              <w14:schemeClr w14:val="tx1"/>
            </w14:solidFill>
          </w14:textFill>
        </w:rPr>
        <w:t>Capital konsalting AD, Goša, Iritel AD, NIS AD, Panonija AD, Progres AD, Telefonija AD - u stečaju</w:t>
      </w:r>
      <w:r>
        <w:rPr>
          <w:rFonts w:hint="default" w:cs="Times New Roman"/>
          <w:b w:val="0"/>
          <w:bCs/>
          <w:color w:val="000000" w:themeColor="text1"/>
          <w:sz w:val="22"/>
          <w:szCs w:val="22"/>
          <w:vertAlign w:val="baseline"/>
          <w:lang w:val="en-US"/>
          <w14:textFill>
            <w14:solidFill>
              <w14:schemeClr w14:val="tx1"/>
            </w14:solidFill>
          </w14:textFill>
        </w:rPr>
        <w:t>.</w:t>
      </w:r>
    </w:p>
    <w:p>
      <w:pPr>
        <w:numPr>
          <w:ilvl w:val="0"/>
          <w:numId w:val="2"/>
        </w:numPr>
        <w:ind w:left="0" w:leftChars="0" w:firstLine="440" w:firstLineChars="20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vertAlign w:val="baseline"/>
          <w:lang w:val="sr-Cyrl-RS"/>
          <w14:textFill>
            <w14:solidFill>
              <w14:schemeClr w14:val="tx1"/>
            </w14:solidFill>
          </w14:textFill>
        </w:rPr>
        <w:t>Моторна возила</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w:t>
      </w:r>
      <w:r>
        <w:rPr>
          <w:rFonts w:hint="default" w:ascii="Times New Roman" w:hAnsi="Times New Roman" w:cs="Times New Roman"/>
          <w:b w:val="0"/>
          <w:bCs/>
          <w:color w:val="000000" w:themeColor="text1"/>
          <w:sz w:val="22"/>
          <w:szCs w:val="22"/>
          <w:vertAlign w:val="baseline"/>
          <w:lang w:val="sr-Latn-RS"/>
          <w14:textFill>
            <w14:solidFill>
              <w14:schemeClr w14:val="tx1"/>
            </w14:solidFill>
          </w14:textFill>
        </w:rPr>
        <w:t>VW Caddy</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2001. годиште, </w:t>
      </w:r>
      <w:r>
        <w:rPr>
          <w:rFonts w:hint="default" w:ascii="Times New Roman" w:hAnsi="Times New Roman" w:cs="Times New Roman"/>
          <w:b w:val="0"/>
          <w:bCs/>
          <w:color w:val="000000" w:themeColor="text1"/>
          <w:sz w:val="22"/>
          <w:szCs w:val="22"/>
          <w:vertAlign w:val="baseline"/>
          <w:lang w:val="sr-Latn-RS"/>
          <w14:textFill>
            <w14:solidFill>
              <w14:schemeClr w14:val="tx1"/>
            </w14:solidFill>
          </w14:textFill>
        </w:rPr>
        <w:t>Ford Tranzit</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2004. годиште, </w:t>
      </w:r>
      <w:r>
        <w:rPr>
          <w:rFonts w:hint="default" w:ascii="Times New Roman" w:hAnsi="Times New Roman" w:cs="Times New Roman"/>
          <w:b w:val="0"/>
          <w:bCs/>
          <w:color w:val="000000" w:themeColor="text1"/>
          <w:sz w:val="22"/>
          <w:szCs w:val="22"/>
          <w:vertAlign w:val="baseline"/>
          <w:lang w:val="sr-Latn-RS"/>
          <w14:textFill>
            <w14:solidFill>
              <w14:schemeClr w14:val="tx1"/>
            </w14:solidFill>
          </w14:textFill>
        </w:rPr>
        <w:t>Renault Clio</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2006. годиште, </w:t>
      </w:r>
      <w:r>
        <w:rPr>
          <w:rFonts w:hint="default" w:ascii="Times New Roman" w:hAnsi="Times New Roman" w:cs="Times New Roman"/>
          <w:b w:val="0"/>
          <w:bCs/>
          <w:color w:val="000000" w:themeColor="text1"/>
          <w:sz w:val="22"/>
          <w:szCs w:val="22"/>
          <w:vertAlign w:val="baseline"/>
          <w:lang w:val="sr-Latn-RS"/>
          <w14:textFill>
            <w14:solidFill>
              <w14:schemeClr w14:val="tx1"/>
            </w14:solidFill>
          </w14:textFill>
        </w:rPr>
        <w:t>Fiat Ducato</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2016. годиште. Возила су коришћена за снабдевање малопродајних објеката</w:t>
      </w:r>
      <w:r>
        <w:rPr>
          <w:rFonts w:hint="default" w:cs="Times New Roman"/>
          <w:b w:val="0"/>
          <w:bCs/>
          <w:color w:val="000000" w:themeColor="text1"/>
          <w:sz w:val="22"/>
          <w:szCs w:val="22"/>
          <w:vertAlign w:val="baseline"/>
          <w:lang w:val="en-US"/>
          <w14:textFill>
            <w14:solidFill>
              <w14:schemeClr w14:val="tx1"/>
            </w14:solidFill>
          </w14:textFill>
        </w:rPr>
        <w:t>.</w:t>
      </w:r>
    </w:p>
    <w:p>
      <w:pPr>
        <w:numPr>
          <w:ilvl w:val="0"/>
          <w:numId w:val="2"/>
        </w:numPr>
        <w:ind w:left="0" w:leftChars="0" w:firstLine="440" w:firstLineChars="200"/>
        <w:jc w:val="both"/>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pPr>
      <w:r>
        <w:rPr>
          <w:rFonts w:hint="default" w:ascii="Times New Roman" w:hAnsi="Times New Roman" w:cs="Times New Roman"/>
          <w:b w:val="0"/>
          <w:bCs/>
          <w:color w:val="000000" w:themeColor="text1"/>
          <w:sz w:val="22"/>
          <w:szCs w:val="22"/>
          <w:u w:val="single"/>
          <w:vertAlign w:val="baseline"/>
          <w:lang w:val="sr-Cyrl-RS"/>
          <w14:textFill>
            <w14:solidFill>
              <w14:schemeClr w14:val="tx1"/>
            </w14:solidFill>
          </w14:textFill>
        </w:rPr>
        <w:t>Потраживања стечајног дужника</w:t>
      </w:r>
      <w:r>
        <w:rPr>
          <w:rFonts w:hint="default" w:ascii="Times New Roman" w:hAnsi="Times New Roman" w:cs="Times New Roman"/>
          <w:b w:val="0"/>
          <w:bCs/>
          <w:color w:val="000000" w:themeColor="text1"/>
          <w:sz w:val="22"/>
          <w:szCs w:val="22"/>
          <w:vertAlign w:val="baseline"/>
          <w:lang w:val="sr-Cyrl-RS"/>
          <w14:textFill>
            <w14:solidFill>
              <w14:schemeClr w14:val="tx1"/>
            </w14:solidFill>
          </w14:textFill>
        </w:rPr>
        <w:t xml:space="preserve"> - дате позајмице и ненаплаћена потраживања.</w:t>
      </w:r>
    </w:p>
    <w:p>
      <w:pPr>
        <w:spacing w:after="0" w:line="240" w:lineRule="auto"/>
        <w:ind w:left="240" w:leftChars="100" w:firstLine="0" w:firstLineChars="0"/>
        <w:jc w:val="both"/>
        <w:rPr>
          <w:rFonts w:hint="default" w:ascii="Times New Roman" w:hAnsi="Times New Roman" w:cs="Times New Roman"/>
          <w:b/>
          <w:bCs/>
          <w:color w:val="000000" w:themeColor="text1"/>
          <w:sz w:val="22"/>
          <w:szCs w:val="22"/>
          <w14:textFill>
            <w14:solidFill>
              <w14:schemeClr w14:val="tx1"/>
            </w14:solidFill>
          </w14:textFill>
        </w:rPr>
      </w:pPr>
      <w:r>
        <w:rPr>
          <w:rFonts w:hint="default" w:ascii="Times New Roman" w:hAnsi="Times New Roman" w:cs="Times New Roman"/>
          <w:b/>
          <w:bCs/>
          <w:color w:val="000000" w:themeColor="text1"/>
          <w:sz w:val="22"/>
          <w:szCs w:val="22"/>
          <w:lang w:val="sr-Cyrl-CS"/>
          <w14:textFill>
            <w14:solidFill>
              <w14:schemeClr w14:val="tx1"/>
            </w14:solidFill>
          </w14:textFill>
        </w:rPr>
        <w:t>Стечајни дужник је детаљно описан у продајној документацији.</w:t>
      </w:r>
    </w:p>
    <w:p>
      <w:pPr>
        <w:widowControl w:val="0"/>
        <w:spacing w:before="40"/>
        <w:ind w:left="720"/>
        <w:jc w:val="both"/>
        <w:rPr>
          <w:b/>
          <w:bCs w:val="0"/>
          <w:color w:val="000000" w:themeColor="text1"/>
          <w:sz w:val="22"/>
          <w:szCs w:val="22"/>
          <w14:textFill>
            <w14:solidFill>
              <w14:schemeClr w14:val="tx1"/>
            </w14:solidFill>
          </w14:textFill>
        </w:rPr>
      </w:pPr>
      <w:r>
        <w:rPr>
          <w:b/>
          <w:bCs w:val="0"/>
          <w:color w:val="000000" w:themeColor="text1"/>
          <w:sz w:val="22"/>
          <w:szCs w:val="22"/>
          <w:lang w:val="sr-Cyrl-CS"/>
          <w14:textFill>
            <w14:solidFill>
              <w14:schemeClr w14:val="tx1"/>
            </w14:solidFill>
          </w14:textFill>
        </w:rPr>
        <w:t xml:space="preserve">Процењена вредност </w:t>
      </w:r>
      <w:r>
        <w:rPr>
          <w:rFonts w:hint="default"/>
          <w:b/>
          <w:bCs w:val="0"/>
          <w:color w:val="000000" w:themeColor="text1"/>
          <w:sz w:val="22"/>
          <w:szCs w:val="22"/>
          <w:lang w:val="sr-Cyrl-RS"/>
          <w14:textFill>
            <w14:solidFill>
              <w14:schemeClr w14:val="tx1"/>
            </w14:solidFill>
          </w14:textFill>
        </w:rPr>
        <w:t xml:space="preserve">имовинске целине </w:t>
      </w:r>
      <w:r>
        <w:rPr>
          <w:rFonts w:hint="default"/>
          <w:b/>
          <w:bCs w:val="0"/>
          <w:color w:val="000000" w:themeColor="text1"/>
          <w:sz w:val="22"/>
          <w:szCs w:val="22"/>
          <w:lang w:val="sr-Latn-RS"/>
          <w14:textFill>
            <w14:solidFill>
              <w14:schemeClr w14:val="tx1"/>
            </w14:solidFill>
          </w14:textFill>
        </w:rPr>
        <w:t>I</w:t>
      </w:r>
      <w:r>
        <w:rPr>
          <w:rFonts w:hint="default"/>
          <w:b/>
          <w:bCs w:val="0"/>
          <w:color w:val="000000" w:themeColor="text1"/>
          <w:sz w:val="22"/>
          <w:szCs w:val="22"/>
          <w:lang w:val="sr-Cyrl-RS"/>
          <w14:textFill>
            <w14:solidFill>
              <w14:schemeClr w14:val="tx1"/>
            </w14:solidFill>
          </w14:textFill>
        </w:rPr>
        <w:t xml:space="preserve"> износи 46.835.089,10</w:t>
      </w:r>
      <w:r>
        <w:rPr>
          <w:b/>
          <w:bCs w:val="0"/>
          <w:color w:val="000000" w:themeColor="text1"/>
          <w:sz w:val="22"/>
          <w:szCs w:val="22"/>
          <w:lang w:val="sr-Cyrl-CS"/>
          <w14:textFill>
            <w14:solidFill>
              <w14:schemeClr w14:val="tx1"/>
            </w14:solidFill>
          </w14:textFill>
        </w:rPr>
        <w:t xml:space="preserve"> динара.</w:t>
      </w:r>
    </w:p>
    <w:p>
      <w:pPr>
        <w:ind w:left="709"/>
        <w:jc w:val="both"/>
        <w:rPr>
          <w:b/>
          <w:bCs w:val="0"/>
          <w:color w:val="000000" w:themeColor="text1"/>
          <w:sz w:val="22"/>
          <w:szCs w:val="22"/>
          <w:lang w:val="sr-Cyrl-CS"/>
          <w14:textFill>
            <w14:solidFill>
              <w14:schemeClr w14:val="tx1"/>
            </w14:solidFill>
          </w14:textFill>
        </w:rPr>
      </w:pPr>
      <w:r>
        <w:rPr>
          <w:b/>
          <w:bCs w:val="0"/>
          <w:color w:val="000000" w:themeColor="text1"/>
          <w:sz w:val="22"/>
          <w:szCs w:val="22"/>
          <w:lang w:val="sr-Cyrl-CS"/>
          <w14:textFill>
            <w14:solidFill>
              <w14:schemeClr w14:val="tx1"/>
            </w14:solidFill>
          </w14:textFill>
        </w:rPr>
        <w:t xml:space="preserve">Почетна цена на </w:t>
      </w:r>
      <w:r>
        <w:rPr>
          <w:b/>
          <w:bCs w:val="0"/>
          <w:color w:val="000000" w:themeColor="text1"/>
          <w:sz w:val="22"/>
          <w:szCs w:val="22"/>
          <w:lang w:val="sr-Cyrl-RS"/>
          <w14:textFill>
            <w14:solidFill>
              <w14:schemeClr w14:val="tx1"/>
            </w14:solidFill>
          </w14:textFill>
        </w:rPr>
        <w:t>другом</w:t>
      </w:r>
      <w:r>
        <w:rPr>
          <w:rFonts w:hint="default"/>
          <w:b/>
          <w:bCs w:val="0"/>
          <w:color w:val="000000" w:themeColor="text1"/>
          <w:sz w:val="22"/>
          <w:szCs w:val="22"/>
          <w:lang w:val="sr-Cyrl-RS"/>
          <w14:textFill>
            <w14:solidFill>
              <w14:schemeClr w14:val="tx1"/>
            </w14:solidFill>
          </w14:textFill>
        </w:rPr>
        <w:t xml:space="preserve"> </w:t>
      </w:r>
      <w:r>
        <w:rPr>
          <w:b/>
          <w:bCs w:val="0"/>
          <w:color w:val="000000" w:themeColor="text1"/>
          <w:sz w:val="22"/>
          <w:szCs w:val="22"/>
          <w:lang w:val="sr-Cyrl-CS"/>
          <w14:textFill>
            <w14:solidFill>
              <w14:schemeClr w14:val="tx1"/>
            </w14:solidFill>
          </w14:textFill>
        </w:rPr>
        <w:t xml:space="preserve">јавном надметању </w:t>
      </w:r>
      <w:r>
        <w:rPr>
          <w:b/>
          <w:bCs w:val="0"/>
          <w:color w:val="000000" w:themeColor="text1"/>
          <w:sz w:val="22"/>
          <w:szCs w:val="22"/>
          <w:lang w:val="sr-Cyrl-RS"/>
          <w14:textFill>
            <w14:solidFill>
              <w14:schemeClr w14:val="tx1"/>
            </w14:solidFill>
          </w14:textFill>
        </w:rPr>
        <w:t>за</w:t>
      </w:r>
      <w:r>
        <w:rPr>
          <w:rFonts w:hint="default"/>
          <w:b/>
          <w:bCs w:val="0"/>
          <w:color w:val="000000" w:themeColor="text1"/>
          <w:sz w:val="22"/>
          <w:szCs w:val="22"/>
          <w:lang w:val="sr-Cyrl-RS"/>
          <w14:textFill>
            <w14:solidFill>
              <w14:schemeClr w14:val="tx1"/>
            </w14:solidFill>
          </w14:textFill>
        </w:rPr>
        <w:t xml:space="preserve"> продају имовинске целине </w:t>
      </w:r>
      <w:r>
        <w:rPr>
          <w:rFonts w:hint="default"/>
          <w:b/>
          <w:bCs w:val="0"/>
          <w:color w:val="000000" w:themeColor="text1"/>
          <w:sz w:val="22"/>
          <w:szCs w:val="22"/>
          <w:lang w:val="sr-Latn-RS"/>
          <w14:textFill>
            <w14:solidFill>
              <w14:schemeClr w14:val="tx1"/>
            </w14:solidFill>
          </w14:textFill>
        </w:rPr>
        <w:t>I</w:t>
      </w:r>
      <w:r>
        <w:rPr>
          <w:rFonts w:hint="default"/>
          <w:b/>
          <w:bCs w:val="0"/>
          <w:color w:val="000000" w:themeColor="text1"/>
          <w:sz w:val="22"/>
          <w:szCs w:val="22"/>
          <w:lang w:val="sr-Cyrl-RS"/>
          <w14:textFill>
            <w14:solidFill>
              <w14:schemeClr w14:val="tx1"/>
            </w14:solidFill>
          </w14:textFill>
        </w:rPr>
        <w:t xml:space="preserve"> износи 9.367.017,82</w:t>
      </w:r>
      <w:r>
        <w:rPr>
          <w:b/>
          <w:bCs w:val="0"/>
          <w:color w:val="000000" w:themeColor="text1"/>
          <w:sz w:val="22"/>
          <w:szCs w:val="22"/>
          <w:lang w:val="sr-Cyrl-CS"/>
          <w14:textFill>
            <w14:solidFill>
              <w14:schemeClr w14:val="tx1"/>
            </w14:solidFill>
          </w14:textFill>
        </w:rPr>
        <w:t xml:space="preserve"> динара.</w:t>
      </w:r>
    </w:p>
    <w:p>
      <w:pPr>
        <w:ind w:left="709"/>
        <w:jc w:val="both"/>
        <w:rPr>
          <w:b/>
          <w:bCs w:val="0"/>
          <w:color w:val="000000" w:themeColor="text1"/>
          <w:sz w:val="22"/>
          <w:szCs w:val="22"/>
          <w:lang w:val="sr-Cyrl-CS"/>
          <w14:textFill>
            <w14:solidFill>
              <w14:schemeClr w14:val="tx1"/>
            </w14:solidFill>
          </w14:textFill>
        </w:rPr>
      </w:pPr>
      <w:r>
        <w:rPr>
          <w:b/>
          <w:bCs w:val="0"/>
          <w:color w:val="000000" w:themeColor="text1"/>
          <w:sz w:val="22"/>
          <w:szCs w:val="22"/>
          <w:lang w:val="sr-Cyrl-CS"/>
          <w14:textFill>
            <w14:solidFill>
              <w14:schemeClr w14:val="tx1"/>
            </w14:solidFill>
          </w14:textFill>
        </w:rPr>
        <w:t xml:space="preserve">Депозит за учествовање </w:t>
      </w:r>
      <w:r>
        <w:rPr>
          <w:b/>
          <w:bCs w:val="0"/>
          <w:color w:val="000000" w:themeColor="text1"/>
          <w:sz w:val="22"/>
          <w:szCs w:val="22"/>
          <w:lang w:val="sr-Cyrl-RS"/>
          <w14:textFill>
            <w14:solidFill>
              <w14:schemeClr w14:val="tx1"/>
            </w14:solidFill>
          </w14:textFill>
        </w:rPr>
        <w:t>на</w:t>
      </w:r>
      <w:r>
        <w:rPr>
          <w:rFonts w:hint="default"/>
          <w:b/>
          <w:bCs w:val="0"/>
          <w:color w:val="000000" w:themeColor="text1"/>
          <w:sz w:val="22"/>
          <w:szCs w:val="22"/>
          <w:lang w:val="sr-Cyrl-RS"/>
          <w14:textFill>
            <w14:solidFill>
              <w14:schemeClr w14:val="tx1"/>
            </w14:solidFill>
          </w14:textFill>
        </w:rPr>
        <w:t xml:space="preserve"> другом </w:t>
      </w:r>
      <w:r>
        <w:rPr>
          <w:b/>
          <w:bCs w:val="0"/>
          <w:color w:val="000000" w:themeColor="text1"/>
          <w:sz w:val="22"/>
          <w:szCs w:val="22"/>
          <w:lang w:val="sr-Cyrl-CS"/>
          <w14:textFill>
            <w14:solidFill>
              <w14:schemeClr w14:val="tx1"/>
            </w14:solidFill>
          </w14:textFill>
        </w:rPr>
        <w:t xml:space="preserve">јавном надметању за </w:t>
      </w:r>
      <w:r>
        <w:rPr>
          <w:b/>
          <w:bCs w:val="0"/>
          <w:color w:val="000000" w:themeColor="text1"/>
          <w:sz w:val="22"/>
          <w:szCs w:val="22"/>
          <w:lang w:val="sr-Cyrl-RS"/>
          <w14:textFill>
            <w14:solidFill>
              <w14:schemeClr w14:val="tx1"/>
            </w14:solidFill>
          </w14:textFill>
        </w:rPr>
        <w:t>продају</w:t>
      </w:r>
      <w:r>
        <w:rPr>
          <w:rFonts w:hint="default"/>
          <w:b/>
          <w:bCs w:val="0"/>
          <w:color w:val="000000" w:themeColor="text1"/>
          <w:sz w:val="22"/>
          <w:szCs w:val="22"/>
          <w:lang w:val="sr-Cyrl-RS"/>
          <w14:textFill>
            <w14:solidFill>
              <w14:schemeClr w14:val="tx1"/>
            </w14:solidFill>
          </w14:textFill>
        </w:rPr>
        <w:t xml:space="preserve"> имовинске целине </w:t>
      </w:r>
      <w:r>
        <w:rPr>
          <w:rFonts w:hint="default"/>
          <w:b/>
          <w:bCs w:val="0"/>
          <w:color w:val="000000" w:themeColor="text1"/>
          <w:sz w:val="22"/>
          <w:szCs w:val="22"/>
          <w:lang w:val="sr-Latn-RS"/>
          <w14:textFill>
            <w14:solidFill>
              <w14:schemeClr w14:val="tx1"/>
            </w14:solidFill>
          </w14:textFill>
        </w:rPr>
        <w:t>I</w:t>
      </w:r>
      <w:r>
        <w:rPr>
          <w:rFonts w:hint="default"/>
          <w:b/>
          <w:bCs w:val="0"/>
          <w:color w:val="000000" w:themeColor="text1"/>
          <w:sz w:val="22"/>
          <w:szCs w:val="22"/>
          <w:lang w:val="sr-Cyrl-RS"/>
          <w14:textFill>
            <w14:solidFill>
              <w14:schemeClr w14:val="tx1"/>
            </w14:solidFill>
          </w14:textFill>
        </w:rPr>
        <w:t xml:space="preserve"> износи 9.367.017,82</w:t>
      </w:r>
      <w:r>
        <w:rPr>
          <w:b/>
          <w:bCs w:val="0"/>
          <w:color w:val="000000" w:themeColor="text1"/>
          <w:sz w:val="22"/>
          <w:szCs w:val="22"/>
          <w:lang w:val="sr-Cyrl-CS"/>
          <w14:textFill>
            <w14:solidFill>
              <w14:schemeClr w14:val="tx1"/>
            </w14:solidFill>
          </w14:textFill>
        </w:rPr>
        <w:t xml:space="preserve"> динара.</w:t>
      </w:r>
    </w:p>
    <w:p>
      <w:pPr>
        <w:jc w:val="both"/>
        <w:rPr>
          <w:rFonts w:hint="default"/>
          <w:b/>
          <w:bCs w:val="0"/>
          <w:color w:val="000000" w:themeColor="text1"/>
          <w:sz w:val="22"/>
          <w:szCs w:val="22"/>
          <w:lang w:val="sr-Cyrl-RS"/>
          <w14:textFill>
            <w14:solidFill>
              <w14:schemeClr w14:val="tx1"/>
            </w14:solidFill>
          </w14:textFill>
        </w:rPr>
      </w:pPr>
      <w:r>
        <w:rPr>
          <w:rFonts w:hint="default"/>
          <w:b/>
          <w:bCs w:val="0"/>
          <w:color w:val="000000" w:themeColor="text1"/>
          <w:sz w:val="22"/>
          <w:szCs w:val="22"/>
          <w:lang w:val="sr-Cyrl-RS"/>
          <w14:textFill>
            <w14:solidFill>
              <w14:schemeClr w14:val="tx1"/>
            </w14:solidFill>
          </w14:textFill>
        </w:rPr>
        <w:t>Напомена: Уколико је највиша понуђена цена мања од 50% процењене вредности, стечајни управник ће од одбора поверилаца и разлучног повериоца затражити сагласност на понуђену цену. Уколико Одбор поверилаца и разлучни поверилац дају сагласност на понуђену највишу цену, купопродајни уговор ће бити закључен у року од три дана од добијања сагласности. Уколико сагласност не буде дата, јавно надметање ће бити проглашено неуспешним.</w:t>
      </w:r>
    </w:p>
    <w:p>
      <w:pPr>
        <w:ind w:firstLine="720" w:firstLineChars="0"/>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Право на учешће у поступку продаје имају сва правна и физичка лица</w:t>
      </w:r>
      <w:r>
        <w:rPr>
          <w:color w:val="000000" w:themeColor="text1"/>
          <w:sz w:val="22"/>
          <w:szCs w:val="22"/>
          <w:lang w:val="ru-RU"/>
          <w14:textFill>
            <w14:solidFill>
              <w14:schemeClr w14:val="tx1"/>
            </w14:solidFill>
          </w14:textFill>
        </w:rPr>
        <w:t xml:space="preserve"> </w:t>
      </w:r>
      <w:r>
        <w:rPr>
          <w:color w:val="000000" w:themeColor="text1"/>
          <w:sz w:val="22"/>
          <w:szCs w:val="22"/>
          <w:lang w:val="sr-Cyrl-CS"/>
          <w14:textFill>
            <w14:solidFill>
              <w14:schemeClr w14:val="tx1"/>
            </w14:solidFill>
          </w14:textFill>
        </w:rPr>
        <w:t>која:</w:t>
      </w:r>
    </w:p>
    <w:p>
      <w:pPr>
        <w:numPr>
          <w:ilvl w:val="0"/>
          <w:numId w:val="3"/>
        </w:numPr>
        <w:ind w:leftChars="0"/>
        <w:jc w:val="both"/>
        <w:rPr>
          <w:color w:val="000000" w:themeColor="text1"/>
          <w:sz w:val="22"/>
          <w:szCs w:val="22"/>
          <w14:textFill>
            <w14:solidFill>
              <w14:schemeClr w14:val="tx1"/>
            </w14:solidFill>
          </w14:textFill>
        </w:rPr>
      </w:pPr>
      <w:r>
        <w:rPr>
          <w:color w:val="000000" w:themeColor="text1"/>
          <w:sz w:val="22"/>
          <w:szCs w:val="22"/>
          <w:lang w:val="sr-Cyrl-CS"/>
          <w14:textFill>
            <w14:solidFill>
              <w14:schemeClr w14:val="tx1"/>
            </w14:solidFill>
          </w14:textFill>
        </w:rPr>
        <w:t>након добијања профактуре, изврше уплату</w:t>
      </w:r>
      <w:r>
        <w:rPr>
          <w:rFonts w:hint="default"/>
          <w:color w:val="000000" w:themeColor="text1"/>
          <w:sz w:val="22"/>
          <w:szCs w:val="22"/>
          <w:lang w:val="sr-Cyrl-RS"/>
          <w14:textFill>
            <w14:solidFill>
              <w14:schemeClr w14:val="tx1"/>
            </w14:solidFill>
          </w14:textFill>
        </w:rPr>
        <w:t xml:space="preserve"> </w:t>
      </w:r>
      <w:r>
        <w:rPr>
          <w:color w:val="000000" w:themeColor="text1"/>
          <w:sz w:val="22"/>
          <w:szCs w:val="22"/>
          <w:lang w:val="sr-Cyrl-CS"/>
          <w14:textFill>
            <w14:solidFill>
              <w14:schemeClr w14:val="tx1"/>
            </w14:solidFill>
          </w14:textFill>
        </w:rPr>
        <w:t>ради откупа продајне документације</w:t>
      </w:r>
      <w:r>
        <w:rPr>
          <w:rFonts w:hint="default"/>
          <w:color w:val="000000" w:themeColor="text1"/>
          <w:sz w:val="22"/>
          <w:szCs w:val="22"/>
          <w:lang w:val="sr-Cyrl-RS"/>
          <w14:textFill>
            <w14:solidFill>
              <w14:schemeClr w14:val="tx1"/>
            </w14:solidFill>
          </w14:textFill>
        </w:rPr>
        <w:t xml:space="preserve"> за учествовање на првом јавном надметању за имовинску целину </w:t>
      </w:r>
      <w:r>
        <w:rPr>
          <w:rFonts w:hint="default"/>
          <w:color w:val="000000" w:themeColor="text1"/>
          <w:sz w:val="22"/>
          <w:szCs w:val="22"/>
          <w:lang w:val="sr-Latn-RS"/>
          <w14:textFill>
            <w14:solidFill>
              <w14:schemeClr w14:val="tx1"/>
            </w14:solidFill>
          </w14:textFill>
        </w:rPr>
        <w:t>I</w:t>
      </w:r>
      <w:r>
        <w:rPr>
          <w:rFonts w:hint="default"/>
          <w:color w:val="000000" w:themeColor="text1"/>
          <w:sz w:val="22"/>
          <w:szCs w:val="22"/>
          <w:lang w:val="sr-Cyrl-RS"/>
          <w14:textFill>
            <w14:solidFill>
              <w14:schemeClr w14:val="tx1"/>
            </w14:solidFill>
          </w14:textFill>
        </w:rPr>
        <w:t xml:space="preserve"> </w:t>
      </w:r>
      <w:r>
        <w:rPr>
          <w:color w:val="000000" w:themeColor="text1"/>
          <w:sz w:val="22"/>
          <w:szCs w:val="22"/>
          <w:lang w:val="sr-Cyrl-CS"/>
          <w14:textFill>
            <w14:solidFill>
              <w14:schemeClr w14:val="tx1"/>
            </w14:solidFill>
          </w14:textFill>
        </w:rPr>
        <w:t>у износу од 200.</w:t>
      </w:r>
      <w:r>
        <w:rPr>
          <w:color w:val="000000" w:themeColor="text1"/>
          <w:sz w:val="22"/>
          <w:szCs w:val="22"/>
          <w:lang w:val="sr-Latn-CS"/>
          <w14:textFill>
            <w14:solidFill>
              <w14:schemeClr w14:val="tx1"/>
            </w14:solidFill>
          </w14:textFill>
        </w:rPr>
        <w:t>000</w:t>
      </w:r>
      <w:r>
        <w:rPr>
          <w:color w:val="000000" w:themeColor="text1"/>
          <w:sz w:val="22"/>
          <w:szCs w:val="22"/>
          <w:lang w:val="sr-Cyrl-CS"/>
          <w14:textFill>
            <w14:solidFill>
              <w14:schemeClr w14:val="tx1"/>
            </w14:solidFill>
          </w14:textFill>
        </w:rPr>
        <w:t>,00</w:t>
      </w:r>
      <w:r>
        <w:rPr>
          <w:color w:val="000000" w:themeColor="text1"/>
          <w:sz w:val="22"/>
          <w:szCs w:val="22"/>
          <w:lang w:val="sr-Latn-CS"/>
          <w14:textFill>
            <w14:solidFill>
              <w14:schemeClr w14:val="tx1"/>
            </w14:solidFill>
          </w14:textFill>
        </w:rPr>
        <w:t xml:space="preserve"> </w:t>
      </w:r>
      <w:r>
        <w:rPr>
          <w:color w:val="000000" w:themeColor="text1"/>
          <w:sz w:val="22"/>
          <w:szCs w:val="22"/>
          <w:lang w:val="sr-Cyrl-CS"/>
          <w14:textFill>
            <w14:solidFill>
              <w14:schemeClr w14:val="tx1"/>
            </w14:solidFill>
          </w14:textFill>
        </w:rPr>
        <w:t xml:space="preserve">динара + ПДВ, укупно 240.000,00 динара и који преузму продајну документацију. Профактура се може преузети сваког радног дана у периоду од 09 до 13 часова у просторијама стечајног </w:t>
      </w:r>
      <w:r>
        <w:rPr>
          <w:color w:val="000000" w:themeColor="text1"/>
          <w:sz w:val="22"/>
          <w:szCs w:val="22"/>
          <w14:textFill>
            <w14:solidFill>
              <w14:schemeClr w14:val="tx1"/>
            </w14:solidFill>
          </w14:textFill>
        </w:rPr>
        <w:t>управника у Нишу ул.</w:t>
      </w:r>
      <w:r>
        <w:rPr>
          <w:color w:val="000000" w:themeColor="text1"/>
          <w:sz w:val="22"/>
          <w:szCs w:val="22"/>
          <w:lang w:val="sr-Cyrl-CS" w:eastAsia="sr-Latn-CS"/>
          <w14:textFill>
            <w14:solidFill>
              <w14:schemeClr w14:val="tx1"/>
            </w14:solidFill>
          </w14:textFill>
        </w:rPr>
        <w:t xml:space="preserve"> Цара Душана број 54, ПЦ Душанов базар, спрат 1, локал 119</w:t>
      </w:r>
      <w:r>
        <w:rPr>
          <w:color w:val="000000" w:themeColor="text1"/>
          <w:sz w:val="22"/>
          <w:szCs w:val="22"/>
          <w14:textFill>
            <w14:solidFill>
              <w14:schemeClr w14:val="tx1"/>
            </w14:solidFill>
          </w14:textFill>
        </w:rPr>
        <w:t>,</w:t>
      </w:r>
      <w:r>
        <w:rPr>
          <w:color w:val="000000" w:themeColor="text1"/>
          <w:sz w:val="22"/>
          <w:szCs w:val="22"/>
          <w:lang w:val="sr-Cyrl-CS"/>
          <w14:textFill>
            <w14:solidFill>
              <w14:schemeClr w14:val="tx1"/>
            </w14:solidFill>
          </w14:textFill>
        </w:rPr>
        <w:t xml:space="preserve"> уз обавезну најаву стечајном управнику или писаним захтевом на адресу електронске поште: </w:t>
      </w:r>
      <w:r>
        <w:rPr>
          <w:color w:val="000000" w:themeColor="text1"/>
          <w:sz w:val="22"/>
          <w:szCs w:val="22"/>
          <w14:textFill>
            <w14:solidFill>
              <w14:schemeClr w14:val="tx1"/>
            </w14:solidFill>
          </w14:textFill>
        </w:rPr>
        <w:fldChar w:fldCharType="begin"/>
      </w:r>
      <w:r>
        <w:rPr>
          <w:color w:val="000000" w:themeColor="text1"/>
          <w:sz w:val="22"/>
          <w:szCs w:val="22"/>
          <w14:textFill>
            <w14:solidFill>
              <w14:schemeClr w14:val="tx1"/>
            </w14:solidFill>
          </w14:textFill>
        </w:rPr>
        <w:instrText xml:space="preserve"> HYPERLINK "mailto:unovcenje@gmail.com" </w:instrText>
      </w:r>
      <w:r>
        <w:rPr>
          <w:color w:val="000000" w:themeColor="text1"/>
          <w:sz w:val="22"/>
          <w:szCs w:val="22"/>
          <w14:textFill>
            <w14:solidFill>
              <w14:schemeClr w14:val="tx1"/>
            </w14:solidFill>
          </w14:textFill>
        </w:rPr>
        <w:fldChar w:fldCharType="separate"/>
      </w:r>
      <w:r>
        <w:rPr>
          <w:rStyle w:val="9"/>
          <w:color w:val="000000" w:themeColor="text1"/>
          <w:sz w:val="22"/>
          <w:szCs w:val="22"/>
          <w14:textFill>
            <w14:solidFill>
              <w14:schemeClr w14:val="tx1"/>
            </w14:solidFill>
          </w14:textFill>
        </w:rPr>
        <w:t>unovcenje@gmail.com</w:t>
      </w:r>
      <w:r>
        <w:rPr>
          <w:rStyle w:val="9"/>
          <w:color w:val="000000" w:themeColor="text1"/>
          <w:sz w:val="22"/>
          <w:szCs w:val="22"/>
          <w14:textFill>
            <w14:solidFill>
              <w14:schemeClr w14:val="tx1"/>
            </w14:solidFill>
          </w14:textFill>
        </w:rPr>
        <w:fldChar w:fldCharType="end"/>
      </w:r>
      <w:r>
        <w:rPr>
          <w:color w:val="000000" w:themeColor="text1"/>
          <w:sz w:val="22"/>
          <w:szCs w:val="22"/>
          <w:lang w:val="sr-Cyrl-CS"/>
          <w14:textFill>
            <w14:solidFill>
              <w14:schemeClr w14:val="tx1"/>
            </w14:solidFill>
          </w14:textFill>
        </w:rPr>
        <w:t xml:space="preserve">. </w:t>
      </w:r>
      <w:r>
        <w:rPr>
          <w:color w:val="000000" w:themeColor="text1"/>
          <w:sz w:val="22"/>
          <w:szCs w:val="22"/>
          <w14:textFill>
            <w14:solidFill>
              <w14:schemeClr w14:val="tx1"/>
            </w14:solidFill>
          </w14:textFill>
        </w:rPr>
        <w:t xml:space="preserve">Рок за </w:t>
      </w:r>
      <w:r>
        <w:rPr>
          <w:color w:val="000000" w:themeColor="text1"/>
          <w:sz w:val="22"/>
          <w:szCs w:val="22"/>
          <w:lang w:val="sr-Cyrl-CS"/>
          <w14:textFill>
            <w14:solidFill>
              <w14:schemeClr w14:val="tx1"/>
            </w14:solidFill>
          </w14:textFill>
        </w:rPr>
        <w:t xml:space="preserve">преузимање профактуре и </w:t>
      </w:r>
      <w:r>
        <w:rPr>
          <w:color w:val="000000" w:themeColor="text1"/>
          <w:sz w:val="22"/>
          <w:szCs w:val="22"/>
          <w14:textFill>
            <w14:solidFill>
              <w14:schemeClr w14:val="tx1"/>
            </w14:solidFill>
          </w14:textFill>
        </w:rPr>
        <w:t xml:space="preserve">откуп продајне документације је </w:t>
      </w:r>
      <w:r>
        <w:rPr>
          <w:rFonts w:hint="default"/>
          <w:color w:val="000000" w:themeColor="text1"/>
          <w:sz w:val="22"/>
          <w:szCs w:val="22"/>
          <w:lang w:val="sr-Cyrl-RS"/>
          <w14:textFill>
            <w14:solidFill>
              <w14:schemeClr w14:val="tx1"/>
            </w14:solidFill>
          </w14:textFill>
        </w:rPr>
        <w:t>06.12.</w:t>
      </w:r>
      <w:r>
        <w:rPr>
          <w:color w:val="000000" w:themeColor="text1"/>
          <w:sz w:val="22"/>
          <w:szCs w:val="22"/>
          <w:lang w:val="sr-Cyrl-RS"/>
          <w14:textFill>
            <w14:solidFill>
              <w14:schemeClr w14:val="tx1"/>
            </w14:solidFill>
          </w14:textFill>
        </w:rPr>
        <w:t>202</w:t>
      </w:r>
      <w:r>
        <w:rPr>
          <w:rFonts w:hint="default"/>
          <w:color w:val="000000" w:themeColor="text1"/>
          <w:sz w:val="22"/>
          <w:szCs w:val="22"/>
          <w:lang w:val="sr-Cyrl-RS"/>
          <w14:textFill>
            <w14:solidFill>
              <w14:schemeClr w14:val="tx1"/>
            </w14:solidFill>
          </w14:textFill>
        </w:rPr>
        <w:t>3</w:t>
      </w:r>
      <w:r>
        <w:rPr>
          <w:bCs/>
          <w:color w:val="000000" w:themeColor="text1"/>
          <w:sz w:val="22"/>
          <w:szCs w:val="22"/>
          <w:lang w:val="sr-Cyrl-CS"/>
          <w14:textFill>
            <w14:solidFill>
              <w14:schemeClr w14:val="tx1"/>
            </w14:solidFill>
          </w14:textFill>
        </w:rPr>
        <w:t xml:space="preserve">. </w:t>
      </w:r>
      <w:r>
        <w:rPr>
          <w:bCs/>
          <w:color w:val="000000" w:themeColor="text1"/>
          <w:sz w:val="22"/>
          <w:szCs w:val="22"/>
          <w14:textFill>
            <w14:solidFill>
              <w14:schemeClr w14:val="tx1"/>
            </w14:solidFill>
          </w14:textFill>
        </w:rPr>
        <w:t xml:space="preserve">године </w:t>
      </w:r>
      <w:r>
        <w:rPr>
          <w:bCs/>
          <w:color w:val="000000" w:themeColor="text1"/>
          <w:sz w:val="22"/>
          <w:szCs w:val="22"/>
          <w:lang w:val="sr-Cyrl-CS"/>
          <w14:textFill>
            <w14:solidFill>
              <w14:schemeClr w14:val="tx1"/>
            </w14:solidFill>
          </w14:textFill>
        </w:rPr>
        <w:t>до 13:00 часова.</w:t>
      </w:r>
      <w:r>
        <w:rPr>
          <w:color w:val="000000" w:themeColor="text1"/>
          <w:sz w:val="22"/>
          <w:szCs w:val="22"/>
          <w:lang w:val="sr-Cyrl-CS"/>
          <w14:textFill>
            <w14:solidFill>
              <w14:schemeClr w14:val="tx1"/>
            </w14:solidFill>
          </w14:textFill>
        </w:rPr>
        <w:t xml:space="preserve"> Продајна документација се, по добијању профактуре и извршене уплате, може преузети у просторијама стечајног </w:t>
      </w:r>
      <w:r>
        <w:rPr>
          <w:color w:val="000000" w:themeColor="text1"/>
          <w:sz w:val="22"/>
          <w:szCs w:val="22"/>
          <w14:textFill>
            <w14:solidFill>
              <w14:schemeClr w14:val="tx1"/>
            </w14:solidFill>
          </w14:textFill>
        </w:rPr>
        <w:t>управника у Нишу ул.</w:t>
      </w:r>
      <w:r>
        <w:rPr>
          <w:color w:val="000000" w:themeColor="text1"/>
          <w:sz w:val="22"/>
          <w:szCs w:val="22"/>
          <w:lang w:val="sr-Cyrl-CS" w:eastAsia="sr-Latn-CS"/>
          <w14:textFill>
            <w14:solidFill>
              <w14:schemeClr w14:val="tx1"/>
            </w14:solidFill>
          </w14:textFill>
        </w:rPr>
        <w:t xml:space="preserve"> Цара Душана број 54, ПЦ Душанов базар, спрат 1, локал 119</w:t>
      </w:r>
      <w:r>
        <w:rPr>
          <w:bCs/>
          <w:color w:val="000000" w:themeColor="text1"/>
          <w:sz w:val="22"/>
          <w:szCs w:val="22"/>
          <w14:textFill>
            <w14:solidFill>
              <w14:schemeClr w14:val="tx1"/>
            </w14:solidFill>
          </w14:textFill>
        </w:rPr>
        <w:t>;</w:t>
      </w:r>
    </w:p>
    <w:p>
      <w:pPr>
        <w:numPr>
          <w:ilvl w:val="0"/>
          <w:numId w:val="3"/>
        </w:numPr>
        <w:ind w:left="0" w:leftChars="0" w:firstLine="0" w:firstLineChars="0"/>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 xml:space="preserve">уплате депозит на текући рачун стечајног дужника бр: </w:t>
      </w:r>
      <w:r>
        <w:rPr>
          <w:rStyle w:val="11"/>
          <w:rFonts w:hint="default"/>
          <w:b w:val="0"/>
          <w:color w:val="000000" w:themeColor="text1"/>
          <w:sz w:val="22"/>
          <w:szCs w:val="22"/>
          <w14:textFill>
            <w14:solidFill>
              <w14:schemeClr w14:val="tx1"/>
            </w14:solidFill>
          </w14:textFill>
        </w:rPr>
        <w:t>160-6000001406738-14</w:t>
      </w:r>
      <w:r>
        <w:rPr>
          <w:rStyle w:val="11"/>
          <w:color w:val="000000" w:themeColor="text1"/>
          <w:sz w:val="22"/>
          <w:szCs w:val="22"/>
          <w14:textFill>
            <w14:solidFill>
              <w14:schemeClr w14:val="tx1"/>
            </w14:solidFill>
          </w14:textFill>
        </w:rPr>
        <w:t xml:space="preserve"> </w:t>
      </w:r>
      <w:r>
        <w:rPr>
          <w:color w:val="000000" w:themeColor="text1"/>
          <w:sz w:val="22"/>
          <w:szCs w:val="22"/>
          <w:lang w:val="sr-Cyrl-CS"/>
          <w14:textFill>
            <w14:solidFill>
              <w14:schemeClr w14:val="tx1"/>
            </w14:solidFill>
          </w14:textFill>
        </w:rPr>
        <w:t xml:space="preserve">код </w:t>
      </w:r>
      <w:r>
        <w:rPr>
          <w:rFonts w:hint="default"/>
          <w:color w:val="000000" w:themeColor="text1"/>
          <w:sz w:val="22"/>
          <w:szCs w:val="22"/>
          <w:lang w:val="sr-Latn-RS"/>
          <w14:textFill>
            <w14:solidFill>
              <w14:schemeClr w14:val="tx1"/>
            </w14:solidFill>
          </w14:textFill>
        </w:rPr>
        <w:t>Banca Intesa</w:t>
      </w:r>
      <w:r>
        <w:rPr>
          <w:color w:val="000000" w:themeColor="text1"/>
          <w:sz w:val="22"/>
          <w:szCs w:val="22"/>
          <w:lang w:val="sr-Cyrl-CS"/>
          <w14:textFill>
            <w14:solidFill>
              <w14:schemeClr w14:val="tx1"/>
            </w14:solidFill>
          </w14:textFill>
        </w:rPr>
        <w:t xml:space="preserve">, или положе неопозиву првокласну банкарску гаранцију наплативу на први позив, најкасније до </w:t>
      </w:r>
      <w:r>
        <w:rPr>
          <w:rFonts w:hint="default"/>
          <w:color w:val="000000" w:themeColor="text1"/>
          <w:sz w:val="22"/>
          <w:szCs w:val="22"/>
          <w:lang w:val="sr-Cyrl-RS"/>
          <w14:textFill>
            <w14:solidFill>
              <w14:schemeClr w14:val="tx1"/>
            </w14:solidFill>
          </w14:textFill>
        </w:rPr>
        <w:t>08.12.2023</w:t>
      </w:r>
      <w:r>
        <w:rPr>
          <w:color w:val="000000" w:themeColor="text1"/>
          <w:sz w:val="22"/>
          <w:szCs w:val="22"/>
          <w:lang w:val="sr-Cyrl-CS"/>
          <w14:textFill>
            <w14:solidFill>
              <w14:schemeClr w14:val="tx1"/>
            </w14:solidFill>
          </w14:textFill>
        </w:rPr>
        <w:t xml:space="preserve">. године. У случају да се као депозит положи првокласна банкарска гаранција, оригинал </w:t>
      </w:r>
      <w:r>
        <w:rPr>
          <w:color w:val="000000" w:themeColor="text1"/>
          <w:sz w:val="22"/>
          <w:szCs w:val="22"/>
          <w14:textFill>
            <w14:solidFill>
              <w14:schemeClr w14:val="tx1"/>
            </w14:solidFill>
          </w14:textFill>
        </w:rPr>
        <w:t>се</w:t>
      </w:r>
      <w:r>
        <w:rPr>
          <w:color w:val="000000" w:themeColor="text1"/>
          <w:sz w:val="22"/>
          <w:szCs w:val="22"/>
          <w:lang w:val="sr-Cyrl-CS"/>
          <w14:textFill>
            <w14:solidFill>
              <w14:schemeClr w14:val="tx1"/>
            </w14:solidFill>
          </w14:textFill>
        </w:rPr>
        <w:t xml:space="preserve"> мора  доставити </w:t>
      </w:r>
      <w:r>
        <w:rPr>
          <w:color w:val="000000" w:themeColor="text1"/>
          <w:sz w:val="22"/>
          <w:szCs w:val="22"/>
          <w14:textFill>
            <w14:solidFill>
              <w14:schemeClr w14:val="tx1"/>
            </w14:solidFill>
          </w14:textFill>
        </w:rPr>
        <w:t xml:space="preserve"> искључиво лично </w:t>
      </w:r>
      <w:r>
        <w:rPr>
          <w:color w:val="000000" w:themeColor="text1"/>
          <w:sz w:val="22"/>
          <w:szCs w:val="22"/>
          <w:lang w:val="sr-Cyrl-CS"/>
          <w14:textFill>
            <w14:solidFill>
              <w14:schemeClr w14:val="tx1"/>
            </w14:solidFill>
          </w14:textFill>
        </w:rPr>
        <w:t xml:space="preserve">стечајном управнику. Стечајни управник ће по пријему извршити проверу банкарске гаранције. Банкарска гаранција мора имати рок важења до </w:t>
      </w:r>
      <w:r>
        <w:rPr>
          <w:rFonts w:hint="default"/>
          <w:color w:val="000000" w:themeColor="text1"/>
          <w:sz w:val="22"/>
          <w:szCs w:val="22"/>
          <w:lang w:val="sr-Cyrl-RS"/>
          <w14:textFill>
            <w14:solidFill>
              <w14:schemeClr w14:val="tx1"/>
            </w14:solidFill>
          </w14:textFill>
        </w:rPr>
        <w:t>29</w:t>
      </w:r>
      <w:r>
        <w:rPr>
          <w:color w:val="000000" w:themeColor="text1"/>
          <w:sz w:val="22"/>
          <w:szCs w:val="22"/>
          <w:lang w:val="sr-Cyrl-CS"/>
          <w14:textFill>
            <w14:solidFill>
              <w14:schemeClr w14:val="tx1"/>
            </w14:solidFill>
          </w14:textFill>
        </w:rPr>
        <w:t>.</w:t>
      </w:r>
      <w:r>
        <w:rPr>
          <w:rFonts w:hint="default"/>
          <w:color w:val="000000" w:themeColor="text1"/>
          <w:sz w:val="22"/>
          <w:szCs w:val="22"/>
          <w:lang w:val="sr-Cyrl-RS"/>
          <w14:textFill>
            <w14:solidFill>
              <w14:schemeClr w14:val="tx1"/>
            </w14:solidFill>
          </w14:textFill>
        </w:rPr>
        <w:t>02</w:t>
      </w:r>
      <w:r>
        <w:rPr>
          <w:color w:val="000000" w:themeColor="text1"/>
          <w:sz w:val="22"/>
          <w:szCs w:val="22"/>
          <w:lang w:val="sr-Cyrl-CS"/>
          <w14:textFill>
            <w14:solidFill>
              <w14:schemeClr w14:val="tx1"/>
            </w14:solidFill>
          </w14:textFill>
        </w:rPr>
        <w:t>.202</w:t>
      </w:r>
      <w:r>
        <w:rPr>
          <w:rFonts w:hint="default"/>
          <w:color w:val="000000" w:themeColor="text1"/>
          <w:sz w:val="22"/>
          <w:szCs w:val="22"/>
          <w:lang w:val="sr-Cyrl-RS"/>
          <w14:textFill>
            <w14:solidFill>
              <w14:schemeClr w14:val="tx1"/>
            </w14:solidFill>
          </w14:textFill>
        </w:rPr>
        <w:t>4</w:t>
      </w:r>
      <w:r>
        <w:rPr>
          <w:color w:val="000000" w:themeColor="text1"/>
          <w:sz w:val="22"/>
          <w:szCs w:val="22"/>
          <w:lang w:val="sr-Cyrl-CS"/>
          <w14:textFill>
            <w14:solidFill>
              <w14:schemeClr w14:val="tx1"/>
            </w14:solidFill>
          </w14:textFill>
        </w:rPr>
        <w:t>. године. Доказ о полагању депозита заинтересовани купци достављају стечајном управнику најкасније на регистрацији за јавно надметање;</w:t>
      </w:r>
    </w:p>
    <w:p>
      <w:pPr>
        <w:numPr>
          <w:ilvl w:val="0"/>
          <w:numId w:val="3"/>
        </w:numPr>
        <w:ind w:left="0" w:leftChars="0" w:firstLine="0" w:firstLineChars="0"/>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потпишу изјаву о губитку права на повраћај депозита, односно о сагласности да ће банкарска гаранција бити наплаћена, у прописаним случајевима. Изјава чини саставни део продајне документације;</w:t>
      </w:r>
    </w:p>
    <w:p>
      <w:pPr>
        <w:numPr>
          <w:ilvl w:val="0"/>
          <w:numId w:val="3"/>
        </w:numPr>
        <w:ind w:left="0" w:leftChars="0" w:firstLine="0" w:firstLineChars="0"/>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се региструју као учесник на јавном надметању.</w:t>
      </w:r>
    </w:p>
    <w:p>
      <w:pPr>
        <w:ind w:firstLine="360"/>
        <w:jc w:val="both"/>
        <w:rPr>
          <w:color w:val="000000" w:themeColor="text1"/>
          <w:sz w:val="22"/>
          <w:szCs w:val="22"/>
          <w:lang w:val="sr-Cyrl-CS"/>
          <w14:textFill>
            <w14:solidFill>
              <w14:schemeClr w14:val="tx1"/>
            </w14:solidFill>
          </w14:textFill>
        </w:rPr>
      </w:pPr>
      <w:r>
        <w:rPr>
          <w:color w:val="000000" w:themeColor="text1"/>
          <w:sz w:val="22"/>
          <w:szCs w:val="22"/>
          <w:lang w:val="sr-Cyrl-RS"/>
          <w14:textFill>
            <w14:solidFill>
              <w14:schemeClr w14:val="tx1"/>
            </w14:solidFill>
          </w14:textFill>
        </w:rPr>
        <w:t>После</w:t>
      </w:r>
      <w:r>
        <w:rPr>
          <w:rFonts w:hint="default"/>
          <w:color w:val="000000" w:themeColor="text1"/>
          <w:sz w:val="22"/>
          <w:szCs w:val="22"/>
          <w:lang w:val="sr-Cyrl-RS"/>
          <w14:textFill>
            <w14:solidFill>
              <w14:schemeClr w14:val="tx1"/>
            </w14:solidFill>
          </w14:textFill>
        </w:rPr>
        <w:t xml:space="preserve"> откупа продајне документације, и</w:t>
      </w:r>
      <w:r>
        <w:rPr>
          <w:color w:val="000000" w:themeColor="text1"/>
          <w:sz w:val="22"/>
          <w:szCs w:val="22"/>
          <w:lang w:val="sr-Cyrl-RS"/>
          <w14:textFill>
            <w14:solidFill>
              <w14:schemeClr w14:val="tx1"/>
            </w14:solidFill>
          </w14:textFill>
        </w:rPr>
        <w:t>мовина</w:t>
      </w:r>
      <w:r>
        <w:rPr>
          <w:rFonts w:hint="default"/>
          <w:color w:val="000000" w:themeColor="text1"/>
          <w:sz w:val="22"/>
          <w:szCs w:val="22"/>
          <w:lang w:val="sr-Cyrl-RS"/>
          <w14:textFill>
            <w14:solidFill>
              <w14:schemeClr w14:val="tx1"/>
            </w14:solidFill>
          </w14:textFill>
        </w:rPr>
        <w:t xml:space="preserve"> из имовинске целине </w:t>
      </w:r>
      <w:r>
        <w:rPr>
          <w:rFonts w:hint="default"/>
          <w:color w:val="000000" w:themeColor="text1"/>
          <w:sz w:val="22"/>
          <w:szCs w:val="22"/>
          <w:lang w:val="sr-Latn-RS"/>
          <w14:textFill>
            <w14:solidFill>
              <w14:schemeClr w14:val="tx1"/>
            </w14:solidFill>
          </w14:textFill>
        </w:rPr>
        <w:t>I</w:t>
      </w:r>
      <w:r>
        <w:rPr>
          <w:rFonts w:hint="default"/>
          <w:color w:val="000000" w:themeColor="text1"/>
          <w:sz w:val="22"/>
          <w:szCs w:val="22"/>
          <w:lang w:val="sr-Cyrl-RS"/>
          <w14:textFill>
            <w14:solidFill>
              <w14:schemeClr w14:val="tx1"/>
            </w14:solidFill>
          </w14:textFill>
        </w:rPr>
        <w:t xml:space="preserve"> се може разгледати на следећим адресама: Партизански пут број 80, Бранка Миловановића број 5, Карађорђева 58/1 и 58/2 и Саве Ковачевића број 2 у Белој Паланци, Клисури код Беле Паланке, Заплањска број 174 и Ваздухопловаца бб у Нишу као и извршити увид у пословну документацију стечајног дужника. </w:t>
      </w:r>
      <w:r>
        <w:rPr>
          <w:rFonts w:hint="default"/>
          <w:color w:val="000000" w:themeColor="text1"/>
          <w:sz w:val="22"/>
          <w:szCs w:val="22"/>
          <w:u w:val="none"/>
          <w:lang w:val="sr-Cyrl-RS"/>
          <w14:textFill>
            <w14:solidFill>
              <w14:schemeClr w14:val="tx1"/>
            </w14:solidFill>
          </w14:textFill>
        </w:rPr>
        <w:t xml:space="preserve">Имовина се купује у виђеном стању </w:t>
      </w:r>
      <w:r>
        <w:rPr>
          <w:color w:val="000000" w:themeColor="text1"/>
          <w:sz w:val="22"/>
          <w:szCs w:val="22"/>
          <w:u w:val="none"/>
          <w:lang w:val="sr-Cyrl-CS"/>
          <w14:textFill>
            <w14:solidFill>
              <w14:schemeClr w14:val="tx1"/>
            </w14:solidFill>
          </w14:textFill>
        </w:rPr>
        <w:t>и може се разгледати, након откупа продајне документације,</w:t>
      </w:r>
      <w:r>
        <w:rPr>
          <w:color w:val="000000" w:themeColor="text1"/>
          <w:sz w:val="22"/>
          <w:szCs w:val="22"/>
          <w:lang w:val="sr-Cyrl-CS"/>
          <w14:textFill>
            <w14:solidFill>
              <w14:schemeClr w14:val="tx1"/>
            </w14:solidFill>
          </w14:textFill>
        </w:rPr>
        <w:t xml:space="preserve"> сваким радним даном од 9:00 до 13:00 часова, а најкасније до </w:t>
      </w:r>
      <w:r>
        <w:rPr>
          <w:rFonts w:hint="default"/>
          <w:color w:val="000000" w:themeColor="text1"/>
          <w:sz w:val="22"/>
          <w:szCs w:val="22"/>
          <w:lang w:val="sr-Cyrl-RS"/>
          <w14:textFill>
            <w14:solidFill>
              <w14:schemeClr w14:val="tx1"/>
            </w14:solidFill>
          </w14:textFill>
        </w:rPr>
        <w:t>06.12.</w:t>
      </w:r>
      <w:r>
        <w:rPr>
          <w:color w:val="000000" w:themeColor="text1"/>
          <w:sz w:val="22"/>
          <w:szCs w:val="22"/>
          <w:lang w:val="sr-Cyrl-CS"/>
          <w14:textFill>
            <w14:solidFill>
              <w14:schemeClr w14:val="tx1"/>
            </w14:solidFill>
          </w14:textFill>
        </w:rPr>
        <w:t>202</w:t>
      </w:r>
      <w:r>
        <w:rPr>
          <w:rFonts w:hint="default"/>
          <w:color w:val="000000" w:themeColor="text1"/>
          <w:sz w:val="22"/>
          <w:szCs w:val="22"/>
          <w:lang w:val="sr-Cyrl-RS"/>
          <w14:textFill>
            <w14:solidFill>
              <w14:schemeClr w14:val="tx1"/>
            </w14:solidFill>
          </w14:textFill>
        </w:rPr>
        <w:t>3</w:t>
      </w:r>
      <w:r>
        <w:rPr>
          <w:color w:val="000000" w:themeColor="text1"/>
          <w:sz w:val="22"/>
          <w:szCs w:val="22"/>
          <w:lang w:val="sr-Cyrl-CS"/>
          <w14:textFill>
            <w14:solidFill>
              <w14:schemeClr w14:val="tx1"/>
            </w14:solidFill>
          </w14:textFill>
        </w:rPr>
        <w:t>. године уз претходну најаву стечајном управнику најмање један дан пре разгледања.</w:t>
      </w:r>
    </w:p>
    <w:p>
      <w:pPr>
        <w:ind w:firstLine="360"/>
        <w:jc w:val="both"/>
        <w:rPr>
          <w:color w:val="000000" w:themeColor="text1"/>
          <w:sz w:val="22"/>
          <w:szCs w:val="22"/>
          <w:lang w:val="sr-Cyrl-BA"/>
          <w14:textFill>
            <w14:solidFill>
              <w14:schemeClr w14:val="tx1"/>
            </w14:solidFill>
          </w14:textFill>
        </w:rPr>
      </w:pPr>
      <w:r>
        <w:rPr>
          <w:color w:val="000000" w:themeColor="text1"/>
          <w:sz w:val="22"/>
          <w:szCs w:val="22"/>
          <w:lang w:val="sr-Cyrl-CS"/>
          <w14:textFill>
            <w14:solidFill>
              <w14:schemeClr w14:val="tx1"/>
            </w14:solidFill>
          </w14:textFill>
        </w:rPr>
        <w:t>Након уплате депозита</w:t>
      </w:r>
      <w:r>
        <w:rPr>
          <w:color w:val="000000" w:themeColor="text1"/>
          <w:sz w:val="22"/>
          <w:szCs w:val="22"/>
          <w:lang w:val="ru-RU"/>
          <w14:textFill>
            <w14:solidFill>
              <w14:schemeClr w14:val="tx1"/>
            </w14:solidFill>
          </w14:textFill>
        </w:rPr>
        <w:t>,</w:t>
      </w:r>
      <w:r>
        <w:rPr>
          <w:color w:val="000000" w:themeColor="text1"/>
          <w:sz w:val="22"/>
          <w:szCs w:val="22"/>
          <w:lang w:val="sr-Cyrl-CS"/>
          <w14:textFill>
            <w14:solidFill>
              <w14:schemeClr w14:val="tx1"/>
            </w14:solidFill>
          </w14:textFill>
        </w:rPr>
        <w:t xml:space="preserve"> а најкасније </w:t>
      </w:r>
      <w:r>
        <w:rPr>
          <w:rFonts w:hint="default"/>
          <w:color w:val="000000" w:themeColor="text1"/>
          <w:sz w:val="22"/>
          <w:szCs w:val="22"/>
          <w:lang w:val="sr-Cyrl-RS"/>
          <w14:textFill>
            <w14:solidFill>
              <w14:schemeClr w14:val="tx1"/>
            </w14:solidFill>
          </w14:textFill>
        </w:rPr>
        <w:t>08.12.2023</w:t>
      </w:r>
      <w:r>
        <w:rPr>
          <w:color w:val="000000" w:themeColor="text1"/>
          <w:sz w:val="22"/>
          <w:szCs w:val="22"/>
          <w:lang w:val="ru-RU"/>
          <w14:textFill>
            <w14:solidFill>
              <w14:schemeClr w14:val="tx1"/>
            </w14:solidFill>
          </w14:textFill>
        </w:rPr>
        <w:t>.</w:t>
      </w:r>
      <w:r>
        <w:rPr>
          <w:color w:val="000000" w:themeColor="text1"/>
          <w:sz w:val="22"/>
          <w:szCs w:val="22"/>
          <w:lang w:val="sr-Cyrl-CS"/>
          <w14:textFill>
            <w14:solidFill>
              <w14:schemeClr w14:val="tx1"/>
            </w14:solidFill>
          </w14:textFill>
        </w:rPr>
        <w:t xml:space="preserve"> године, потенцијални купци, ради правовремене </w:t>
      </w:r>
      <w:r>
        <w:rPr>
          <w:color w:val="000000" w:themeColor="text1"/>
          <w:sz w:val="22"/>
          <w:szCs w:val="22"/>
          <w:lang w:val="sr-Cyrl-RS"/>
          <w14:textFill>
            <w14:solidFill>
              <w14:schemeClr w14:val="tx1"/>
            </w14:solidFill>
          </w14:textFill>
        </w:rPr>
        <w:t>евиденције</w:t>
      </w:r>
      <w:r>
        <w:rPr>
          <w:color w:val="000000" w:themeColor="text1"/>
          <w:sz w:val="22"/>
          <w:szCs w:val="22"/>
          <w:lang w:val="sr-Cyrl-CS"/>
          <w14:textFill>
            <w14:solidFill>
              <w14:schemeClr w14:val="tx1"/>
            </w14:solidFill>
          </w14:textFill>
        </w:rPr>
        <w:t xml:space="preserve">, морају предати </w:t>
      </w:r>
      <w:r>
        <w:rPr>
          <w:color w:val="000000" w:themeColor="text1"/>
          <w:sz w:val="22"/>
          <w:szCs w:val="22"/>
          <w14:textFill>
            <w14:solidFill>
              <w14:schemeClr w14:val="tx1"/>
            </w14:solidFill>
          </w14:textFill>
        </w:rPr>
        <w:t>стечајном управнику</w:t>
      </w:r>
      <w:r>
        <w:rPr>
          <w:color w:val="000000" w:themeColor="text1"/>
          <w:sz w:val="22"/>
          <w:szCs w:val="22"/>
          <w:lang w:val="sr-Cyrl-CS"/>
          <w14:textFill>
            <w14:solidFill>
              <w14:schemeClr w14:val="tx1"/>
            </w14:solidFill>
          </w14:textFill>
        </w:rPr>
        <w:t>:</w:t>
      </w:r>
      <w:r>
        <w:rPr>
          <w:color w:val="000000" w:themeColor="text1"/>
          <w:sz w:val="22"/>
          <w:szCs w:val="22"/>
          <w:lang w:val="sr-Cyrl-BA"/>
          <w14:textFill>
            <w14:solidFill>
              <w14:schemeClr w14:val="tx1"/>
            </w14:solidFill>
          </w14:textFill>
        </w:rPr>
        <w:t xml:space="preserve"> 1. Попуњен </w:t>
      </w:r>
      <w:r>
        <w:rPr>
          <w:color w:val="000000" w:themeColor="text1"/>
          <w:sz w:val="22"/>
          <w:szCs w:val="22"/>
          <w:lang w:val="sr-Cyrl-CS"/>
          <w14:textFill>
            <w14:solidFill>
              <w14:schemeClr w14:val="tx1"/>
            </w14:solidFill>
          </w14:textFill>
        </w:rPr>
        <w:t>образац пријаве за учешће</w:t>
      </w:r>
      <w:r>
        <w:rPr>
          <w:color w:val="000000" w:themeColor="text1"/>
          <w:sz w:val="22"/>
          <w:szCs w:val="22"/>
          <w:lang w:val="sr-Cyrl-BA"/>
          <w14:textFill>
            <w14:solidFill>
              <w14:schemeClr w14:val="tx1"/>
            </w14:solidFill>
          </w14:textFill>
        </w:rPr>
        <w:t xml:space="preserve"> на јавном надметању, 2. Доказ о уплати депозита или копију банкарске гаранције, 3. Потписану изјаву о губитку права на повраћај депозита, 4. </w:t>
      </w:r>
      <w:r>
        <w:rPr>
          <w:color w:val="000000" w:themeColor="text1"/>
          <w:sz w:val="22"/>
          <w:szCs w:val="22"/>
          <w:lang w:val="sr-Cyrl-CS"/>
          <w14:textFill>
            <w14:solidFill>
              <w14:schemeClr w14:val="tx1"/>
            </w14:solidFill>
          </w14:textFill>
        </w:rPr>
        <w:t>Извод из регистра привредних субјеката или решење о упису у Регистар привредних субјеката, 5. Оверен ОП образац (ако се као потенцијални купац пријављује правно лице)</w:t>
      </w:r>
      <w:r>
        <w:rPr>
          <w:color w:val="000000" w:themeColor="text1"/>
          <w:sz w:val="22"/>
          <w:szCs w:val="22"/>
          <w:lang w:val="sr-Cyrl-BA"/>
          <w14:textFill>
            <w14:solidFill>
              <w14:schemeClr w14:val="tx1"/>
            </w14:solidFill>
          </w14:textFill>
        </w:rPr>
        <w:t xml:space="preserve">, 6. Овлашћење за заступање оверено код нотара, уколико јавном надметању не присуствује потенцијални купац лично (за физичка лица) или законски заступник (за правна лица). </w:t>
      </w:r>
    </w:p>
    <w:p>
      <w:pPr>
        <w:ind w:firstLine="360"/>
        <w:jc w:val="both"/>
        <w:rPr>
          <w:b/>
          <w:color w:val="000000" w:themeColor="text1"/>
          <w:sz w:val="22"/>
          <w:szCs w:val="22"/>
          <w14:textFill>
            <w14:solidFill>
              <w14:schemeClr w14:val="tx1"/>
            </w14:solidFill>
          </w14:textFill>
        </w:rPr>
      </w:pPr>
      <w:r>
        <w:rPr>
          <w:b/>
          <w:color w:val="000000" w:themeColor="text1"/>
          <w:sz w:val="22"/>
          <w:szCs w:val="22"/>
          <w:lang w:val="sr-Cyrl-CS"/>
          <w14:textFill>
            <w14:solidFill>
              <w14:schemeClr w14:val="tx1"/>
            </w14:solidFill>
          </w14:textFill>
        </w:rPr>
        <w:t xml:space="preserve">Јавно надметање одржаће се дана </w:t>
      </w:r>
      <w:r>
        <w:rPr>
          <w:rFonts w:hint="default"/>
          <w:b/>
          <w:color w:val="000000" w:themeColor="text1"/>
          <w:sz w:val="22"/>
          <w:szCs w:val="22"/>
          <w:lang w:val="sr-Cyrl-RS"/>
          <w14:textFill>
            <w14:solidFill>
              <w14:schemeClr w14:val="tx1"/>
            </w14:solidFill>
          </w14:textFill>
        </w:rPr>
        <w:t>08.12.2023</w:t>
      </w:r>
      <w:r>
        <w:rPr>
          <w:b/>
          <w:color w:val="000000" w:themeColor="text1"/>
          <w:sz w:val="22"/>
          <w:szCs w:val="22"/>
          <w14:textFill>
            <w14:solidFill>
              <w14:schemeClr w14:val="tx1"/>
            </w14:solidFill>
          </w14:textFill>
        </w:rPr>
        <w:t xml:space="preserve">. </w:t>
      </w:r>
      <w:r>
        <w:rPr>
          <w:b/>
          <w:color w:val="000000" w:themeColor="text1"/>
          <w:sz w:val="22"/>
          <w:szCs w:val="22"/>
          <w:lang w:val="sr-Cyrl-CS"/>
          <w14:textFill>
            <w14:solidFill>
              <w14:schemeClr w14:val="tx1"/>
            </w14:solidFill>
          </w14:textFill>
        </w:rPr>
        <w:t xml:space="preserve">године у 13:00 часова на следећој адреси: </w:t>
      </w:r>
      <w:r>
        <w:rPr>
          <w:b/>
          <w:color w:val="000000" w:themeColor="text1"/>
          <w:sz w:val="22"/>
          <w:szCs w:val="22"/>
          <w:lang w:val="sr-Cyrl-RS"/>
          <w14:textFill>
            <w14:solidFill>
              <w14:schemeClr w14:val="tx1"/>
            </w14:solidFill>
          </w14:textFill>
        </w:rPr>
        <w:t>Генерала</w:t>
      </w:r>
      <w:r>
        <w:rPr>
          <w:rFonts w:hint="default"/>
          <w:b/>
          <w:color w:val="000000" w:themeColor="text1"/>
          <w:sz w:val="22"/>
          <w:szCs w:val="22"/>
          <w:lang w:val="sr-Cyrl-RS"/>
          <w14:textFill>
            <w14:solidFill>
              <w14:schemeClr w14:val="tx1"/>
            </w14:solidFill>
          </w14:textFill>
        </w:rPr>
        <w:t xml:space="preserve"> Милојка Лешјанина 17</w:t>
      </w:r>
      <w:r>
        <w:rPr>
          <w:b/>
          <w:color w:val="000000" w:themeColor="text1"/>
          <w:sz w:val="22"/>
          <w:szCs w:val="22"/>
          <w:lang w:val="sr-Cyrl-CS"/>
          <w14:textFill>
            <w14:solidFill>
              <w14:schemeClr w14:val="tx1"/>
            </w14:solidFill>
          </w14:textFill>
        </w:rPr>
        <w:t>, Ниш</w:t>
      </w:r>
      <w:r>
        <w:rPr>
          <w:b/>
          <w:color w:val="000000" w:themeColor="text1"/>
          <w:sz w:val="22"/>
          <w:szCs w:val="22"/>
          <w14:textFill>
            <w14:solidFill>
              <w14:schemeClr w14:val="tx1"/>
            </w14:solidFill>
          </w14:textFill>
        </w:rPr>
        <w:t>.</w:t>
      </w:r>
    </w:p>
    <w:p>
      <w:pPr>
        <w:ind w:firstLine="360"/>
        <w:jc w:val="both"/>
        <w:rPr>
          <w:b/>
          <w:color w:val="000000" w:themeColor="text1"/>
          <w:sz w:val="22"/>
          <w:szCs w:val="22"/>
          <w:lang w:val="sr-Cyrl-CS"/>
          <w14:textFill>
            <w14:solidFill>
              <w14:schemeClr w14:val="tx1"/>
            </w14:solidFill>
          </w14:textFill>
        </w:rPr>
      </w:pPr>
      <w:r>
        <w:rPr>
          <w:b/>
          <w:color w:val="000000" w:themeColor="text1"/>
          <w:sz w:val="22"/>
          <w:szCs w:val="22"/>
          <w:lang w:val="sr-Cyrl-CS"/>
          <w14:textFill>
            <w14:solidFill>
              <w14:schemeClr w14:val="tx1"/>
            </w14:solidFill>
          </w14:textFill>
        </w:rPr>
        <w:t>Регистрација учесника почиње 2 сата пре почетка јавног надметања, а завршава се 10 минута пре почетка јавног надметања, односно у периоду од 11:00 до 12:50 часова, на истој адреси.</w:t>
      </w:r>
    </w:p>
    <w:p>
      <w:pPr>
        <w:ind w:firstLine="360"/>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Стечајни управник спроводи јавно надметање тако што:</w:t>
      </w:r>
    </w:p>
    <w:p>
      <w:pPr>
        <w:numPr>
          <w:ilvl w:val="0"/>
          <w:numId w:val="4"/>
        </w:numPr>
        <w:tabs>
          <w:tab w:val="clear" w:pos="720"/>
        </w:tabs>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Региструје лица која имају право учешћа на јавном надметању (имају овлашћења оверена код нотара или су лично присутни);</w:t>
      </w:r>
    </w:p>
    <w:p>
      <w:pPr>
        <w:numPr>
          <w:ilvl w:val="0"/>
          <w:numId w:val="4"/>
        </w:numPr>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Отвара јавно надметање упознајући учеснике са правилима надметања;</w:t>
      </w:r>
    </w:p>
    <w:p>
      <w:pPr>
        <w:numPr>
          <w:ilvl w:val="0"/>
          <w:numId w:val="4"/>
        </w:numPr>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Оглашава имовину која се нуди на продају и оглашава почетну цену;</w:t>
      </w:r>
    </w:p>
    <w:p>
      <w:pPr>
        <w:numPr>
          <w:ilvl w:val="0"/>
          <w:numId w:val="4"/>
        </w:numPr>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Позива учеснике  да прихвате почетну цену и сваку наредну цену према унапред предвиђеном увећању цене,</w:t>
      </w:r>
    </w:p>
    <w:p>
      <w:pPr>
        <w:numPr>
          <w:ilvl w:val="0"/>
          <w:numId w:val="4"/>
        </w:numPr>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Одржава ред на јавном надметању;</w:t>
      </w:r>
    </w:p>
    <w:p>
      <w:pPr>
        <w:numPr>
          <w:ilvl w:val="0"/>
          <w:numId w:val="4"/>
        </w:numPr>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Проглашава за купца учесника који је прихватио највишу понуђену цену;</w:t>
      </w:r>
    </w:p>
    <w:p>
      <w:pPr>
        <w:numPr>
          <w:ilvl w:val="0"/>
          <w:numId w:val="4"/>
        </w:numPr>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Потписује записник.</w:t>
      </w:r>
    </w:p>
    <w:p>
      <w:pPr>
        <w:ind w:firstLine="360"/>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два радна дана од дана јавног надметања, а пре потписивања купопродајног уговора, након чега ће му бити враћена гаранција.</w:t>
      </w:r>
    </w:p>
    <w:p>
      <w:pPr>
        <w:ind w:firstLine="360"/>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Купопродајни уговор се потписује у року од 3 радна дана од дана одржавања јавног надметања, под условом да је депозит који је обезбеђен гаранцијом уплаћен на рачун стечајног дужника. Проглашени купац је дужан да уплати преостали износ купопродајне цене у року од 15 дана од дана потписивања купопродајног уговора.</w:t>
      </w:r>
    </w:p>
    <w:p>
      <w:pPr>
        <w:ind w:firstLine="360"/>
        <w:jc w:val="both"/>
        <w:rPr>
          <w:color w:val="000000" w:themeColor="text1"/>
          <w:sz w:val="22"/>
          <w:szCs w:val="22"/>
          <w:lang w:val="sr-Cyrl-CS"/>
          <w14:textFill>
            <w14:solidFill>
              <w14:schemeClr w14:val="tx1"/>
            </w14:solidFill>
          </w14:textFill>
        </w:rPr>
      </w:pPr>
      <w:r>
        <w:rPr>
          <w:color w:val="000000" w:themeColor="text1"/>
          <w:sz w:val="22"/>
          <w:szCs w:val="22"/>
          <w:lang w:val="sr-Cyrl-CS"/>
          <w14:textFill>
            <w14:solidFill>
              <w14:schemeClr w14:val="tx1"/>
            </w14:solidFill>
          </w14:textFill>
        </w:rPr>
        <w:t>Ако проглашени купац не потпише записник, купопродајни уговор или не уплати купопродајну цену у прописаним роковима и на прописан начин, губи право на повраћај депозита, а за купца се проглашава други најбољи понуђач</w:t>
      </w:r>
      <w:r>
        <w:rPr>
          <w:color w:val="000000" w:themeColor="text1"/>
          <w:sz w:val="22"/>
          <w:szCs w:val="22"/>
          <w14:textFill>
            <w14:solidFill>
              <w14:schemeClr w14:val="tx1"/>
            </w14:solidFill>
          </w14:textFill>
        </w:rPr>
        <w:t xml:space="preserve"> који у том случају има иста права и обавезе као проглашени купац</w:t>
      </w:r>
      <w:r>
        <w:rPr>
          <w:color w:val="000000" w:themeColor="text1"/>
          <w:sz w:val="22"/>
          <w:szCs w:val="22"/>
          <w:lang w:val="sr-Cyrl-CS"/>
          <w14:textFill>
            <w14:solidFill>
              <w14:schemeClr w14:val="tx1"/>
            </w14:solidFill>
          </w14:textFill>
        </w:rPr>
        <w:t>.</w:t>
      </w:r>
      <w:r>
        <w:rPr>
          <w:color w:val="000000" w:themeColor="text1"/>
          <w:sz w:val="22"/>
          <w:szCs w:val="22"/>
          <w14:textFill>
            <w14:solidFill>
              <w14:schemeClr w14:val="tx1"/>
            </w14:solidFill>
          </w14:textFill>
        </w:rPr>
        <w:t xml:space="preserve"> </w:t>
      </w:r>
      <w:r>
        <w:rPr>
          <w:color w:val="000000" w:themeColor="text1"/>
          <w:sz w:val="22"/>
          <w:szCs w:val="22"/>
          <w:lang w:val="sr-Cyrl-CS"/>
          <w14:textFill>
            <w14:solidFill>
              <w14:schemeClr w14:val="tx1"/>
            </w14:solidFill>
          </w14:textFill>
        </w:rPr>
        <w:t xml:space="preserve">У случају да је 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два радна дана од пријема обавештења којим се проглашава за купца, након чега ће му бити враћена гаранција. </w:t>
      </w:r>
    </w:p>
    <w:p>
      <w:pPr>
        <w:spacing w:before="100" w:beforeAutospacing="1" w:after="100" w:afterAutospacing="1"/>
        <w:ind w:firstLine="360"/>
        <w:contextualSpacing/>
        <w:jc w:val="both"/>
        <w:rPr>
          <w:b/>
          <w:iCs/>
          <w:color w:val="000000" w:themeColor="text1"/>
          <w:sz w:val="22"/>
          <w:szCs w:val="22"/>
          <w14:textFill>
            <w14:solidFill>
              <w14:schemeClr w14:val="tx1"/>
            </w14:solidFill>
          </w14:textFill>
        </w:rPr>
      </w:pPr>
      <w:r>
        <w:rPr>
          <w:color w:val="000000" w:themeColor="text1"/>
          <w:sz w:val="22"/>
          <w:szCs w:val="22"/>
          <w:lang w:val="sr-Cyrl-CS"/>
          <w14:textFill>
            <w14:solidFill>
              <w14:schemeClr w14:val="tx1"/>
            </w14:solidFill>
          </w14:textFill>
        </w:rPr>
        <w:t xml:space="preserve">Учесницима који на јавном надметању нису стекли статус купца или другог најбољег понуђача, депозит (гаранција) се враћа у року од 8 дана од дана завршетка јавног надметања. </w:t>
      </w:r>
      <w:r>
        <w:rPr>
          <w:iCs/>
          <w:color w:val="000000" w:themeColor="text1"/>
          <w:sz w:val="22"/>
          <w:szCs w:val="22"/>
          <w:lang w:val="ru-RU"/>
          <w14:textFill>
            <w14:solidFill>
              <w14:schemeClr w14:val="tx1"/>
            </w14:solidFill>
          </w14:textFill>
        </w:rPr>
        <w:t>Уплатилац депозита губи право на повраћај депозита у складу са Изјавом о губитку права на повраћај депозита</w:t>
      </w:r>
      <w:r>
        <w:rPr>
          <w:b/>
          <w:iCs/>
          <w:color w:val="000000" w:themeColor="text1"/>
          <w:sz w:val="22"/>
          <w:szCs w:val="22"/>
          <w:lang w:val="ru-RU"/>
          <w14:textFill>
            <w14:solidFill>
              <w14:schemeClr w14:val="tx1"/>
            </w14:solidFill>
          </w14:textFill>
        </w:rPr>
        <w:t>.</w:t>
      </w:r>
    </w:p>
    <w:p>
      <w:pPr>
        <w:ind w:firstLine="360"/>
        <w:jc w:val="both"/>
        <w:rPr>
          <w:color w:val="000000" w:themeColor="text1"/>
          <w:sz w:val="22"/>
          <w:szCs w:val="22"/>
          <w14:textFill>
            <w14:solidFill>
              <w14:schemeClr w14:val="tx1"/>
            </w14:solidFill>
          </w14:textFill>
        </w:rPr>
      </w:pPr>
      <w:r>
        <w:rPr>
          <w:color w:val="000000" w:themeColor="text1"/>
          <w:sz w:val="22"/>
          <w:szCs w:val="22"/>
          <w:lang w:val="sr-Cyrl-CS"/>
          <w14:textFill>
            <w14:solidFill>
              <w14:schemeClr w14:val="tx1"/>
            </w14:solidFill>
          </w14:textFill>
        </w:rPr>
        <w:t>Стечајни дужник је у систему ПДВ-а. Порезе и трошкове, који произлазе из закљученог купопродајног уговора, укључујући и трошкове на име сачињавања односно овере уговора, у целости сноси купац.</w:t>
      </w:r>
    </w:p>
    <w:p>
      <w:pPr>
        <w:ind w:firstLine="360"/>
        <w:jc w:val="both"/>
        <w:rPr>
          <w:rFonts w:hint="default"/>
          <w:color w:val="000000" w:themeColor="text1"/>
          <w:sz w:val="22"/>
          <w:szCs w:val="22"/>
          <w:lang w:val="sr-Cyrl-RS"/>
          <w14:textFill>
            <w14:solidFill>
              <w14:schemeClr w14:val="tx1"/>
            </w14:solidFill>
          </w14:textFill>
        </w:rPr>
      </w:pPr>
      <w:r>
        <w:rPr>
          <w:color w:val="000000" w:themeColor="text1"/>
          <w:sz w:val="22"/>
          <w:szCs w:val="22"/>
          <w:lang w:val="sr-Cyrl-CS"/>
          <w14:textFill>
            <w14:solidFill>
              <w14:schemeClr w14:val="tx1"/>
            </w14:solidFill>
          </w14:textFill>
        </w:rPr>
        <w:t>У случају да за купца у поступку продаје буде проглашено правно или физичко лице које подлеже обавези подношења пријаве концентрације, сходно одредбама Закона о заштити конкуренције („Сл. гласник РС“ бр. 51/2009</w:t>
      </w:r>
      <w:r>
        <w:rPr>
          <w:rFonts w:hint="default"/>
          <w:color w:val="000000" w:themeColor="text1"/>
          <w:sz w:val="22"/>
          <w:szCs w:val="22"/>
          <w:lang w:val="sr-Cyrl-RS"/>
          <w14:textFill>
            <w14:solidFill>
              <w14:schemeClr w14:val="tx1"/>
            </w14:solidFill>
          </w14:textFill>
        </w:rPr>
        <w:t xml:space="preserve"> и 95/2013</w:t>
      </w:r>
      <w:r>
        <w:rPr>
          <w:color w:val="000000" w:themeColor="text1"/>
          <w:sz w:val="22"/>
          <w:szCs w:val="22"/>
          <w:lang w:val="sr-Cyrl-CS"/>
          <w14:textFill>
            <w14:solidFill>
              <w14:schemeClr w14:val="tx1"/>
            </w14:solidFill>
          </w14:textFill>
        </w:rPr>
        <w:t>), услови и рокови закључења уговора биће прилагођени роковима одлучивања Комисије за заштиту конкуренције. У наведеном случају</w:t>
      </w:r>
      <w:r>
        <w:rPr>
          <w:color w:val="000000" w:themeColor="text1"/>
          <w:sz w:val="22"/>
          <w:szCs w:val="22"/>
          <w14:textFill>
            <w14:solidFill>
              <w14:schemeClr w14:val="tx1"/>
            </w14:solidFill>
          </w14:textFill>
        </w:rPr>
        <w:t>,</w:t>
      </w:r>
      <w:r>
        <w:rPr>
          <w:color w:val="000000" w:themeColor="text1"/>
          <w:sz w:val="22"/>
          <w:szCs w:val="22"/>
          <w:lang w:val="sr-Cyrl-CS"/>
          <w14:textFill>
            <w14:solidFill>
              <w14:schemeClr w14:val="tx1"/>
            </w14:solidFill>
          </w14:textFill>
        </w:rPr>
        <w:t xml:space="preserve"> проглашеном купцу банкарска гаранција ће бити наплаћена у року предвиђеним огласом</w:t>
      </w:r>
      <w:r>
        <w:rPr>
          <w:color w:val="000000" w:themeColor="text1"/>
          <w:sz w:val="22"/>
          <w:szCs w:val="22"/>
          <w14:textFill>
            <w14:solidFill>
              <w14:schemeClr w14:val="tx1"/>
            </w14:solidFill>
          </w14:textFill>
        </w:rPr>
        <w:t>,</w:t>
      </w:r>
      <w:r>
        <w:rPr>
          <w:color w:val="000000" w:themeColor="text1"/>
          <w:sz w:val="22"/>
          <w:szCs w:val="22"/>
          <w:lang w:val="sr-Cyrl-CS"/>
          <w14:textFill>
            <w14:solidFill>
              <w14:schemeClr w14:val="tx1"/>
            </w14:solidFill>
          </w14:textFill>
        </w:rPr>
        <w:t xml:space="preserve"> односно депозит ће бити задржан до доношења одлуке Комисије за заштиту конкуренције</w:t>
      </w:r>
      <w:r>
        <w:rPr>
          <w:color w:val="000000" w:themeColor="text1"/>
          <w:sz w:val="22"/>
          <w:szCs w:val="22"/>
          <w14:textFill>
            <w14:solidFill>
              <w14:schemeClr w14:val="tx1"/>
            </w14:solidFill>
          </w14:textFill>
        </w:rPr>
        <w:t>.</w:t>
      </w:r>
      <w:r>
        <w:rPr>
          <w:rFonts w:hint="default"/>
          <w:color w:val="000000" w:themeColor="text1"/>
          <w:sz w:val="22"/>
          <w:szCs w:val="22"/>
          <w:lang w:val="sr-Cyrl-RS"/>
          <w14:textFill>
            <w14:solidFill>
              <w14:schemeClr w14:val="tx1"/>
            </w14:solidFill>
          </w14:textFill>
        </w:rPr>
        <w:t xml:space="preserve"> Другом најповољнијем понуђачу депозит или банкарска гаранција (уколико је износ депозита обезбеђен гаранцијом) биће задржани до доношења одлуке Комисије за заштиту конкуренције по поднетој пријави купца.</w:t>
      </w:r>
    </w:p>
    <w:p>
      <w:pPr>
        <w:ind w:firstLine="360"/>
        <w:jc w:val="both"/>
        <w:rPr>
          <w:color w:val="000000" w:themeColor="text1"/>
          <w:sz w:val="24"/>
          <w:szCs w:val="24"/>
          <w:lang w:val="sr-Cyrl-CS"/>
          <w14:textFill>
            <w14:solidFill>
              <w14:schemeClr w14:val="tx1"/>
            </w14:solidFill>
          </w14:textFill>
        </w:rPr>
      </w:pPr>
      <w:r>
        <w:rPr>
          <w:color w:val="000000" w:themeColor="text1"/>
          <w:sz w:val="24"/>
          <w:szCs w:val="24"/>
          <w:lang w:val="sr-Cyrl-RS"/>
          <w14:textFill>
            <w14:solidFill>
              <w14:schemeClr w14:val="tx1"/>
            </w14:solidFill>
          </w14:textFill>
        </w:rPr>
        <w:t>Лице</w:t>
      </w:r>
      <w:r>
        <w:rPr>
          <w:rFonts w:hint="default"/>
          <w:color w:val="000000" w:themeColor="text1"/>
          <w:sz w:val="24"/>
          <w:szCs w:val="24"/>
          <w:lang w:val="sr-Cyrl-RS"/>
          <w14:textFill>
            <w14:solidFill>
              <w14:schemeClr w14:val="tx1"/>
            </w14:solidFill>
          </w14:textFill>
        </w:rPr>
        <w:t xml:space="preserve"> за контакт - с</w:t>
      </w:r>
      <w:r>
        <w:rPr>
          <w:color w:val="000000" w:themeColor="text1"/>
          <w:sz w:val="24"/>
          <w:szCs w:val="24"/>
          <w14:textFill>
            <w14:solidFill>
              <w14:schemeClr w14:val="tx1"/>
            </w14:solidFill>
          </w14:textFill>
        </w:rPr>
        <w:t>течајни управник</w:t>
      </w:r>
      <w:r>
        <w:rPr>
          <w:color w:val="000000" w:themeColor="text1"/>
          <w:sz w:val="24"/>
          <w:szCs w:val="24"/>
          <w:lang w:val="sr-Cyrl-CS"/>
          <w14:textFill>
            <w14:solidFill>
              <w14:schemeClr w14:val="tx1"/>
            </w14:solidFill>
          </w14:textFill>
        </w:rPr>
        <w:t>:</w:t>
      </w:r>
      <w:r>
        <w:rPr>
          <w:color w:val="000000" w:themeColor="text1"/>
          <w:sz w:val="24"/>
          <w:szCs w:val="24"/>
          <w:lang w:val="ru-RU"/>
          <w14:textFill>
            <w14:solidFill>
              <w14:schemeClr w14:val="tx1"/>
            </w14:solidFill>
          </w14:textFill>
        </w:rPr>
        <w:t xml:space="preserve"> Раица Милићевић</w:t>
      </w:r>
      <w:r>
        <w:rPr>
          <w:color w:val="000000" w:themeColor="text1"/>
          <w:sz w:val="24"/>
          <w:szCs w:val="24"/>
          <w:lang w:val="sr-Cyrl-CS"/>
          <w14:textFill>
            <w14:solidFill>
              <w14:schemeClr w14:val="tx1"/>
            </w14:solidFill>
          </w14:textFill>
        </w:rPr>
        <w:t xml:space="preserve">, адреса: </w:t>
      </w:r>
      <w:r>
        <w:rPr>
          <w:color w:val="000000" w:themeColor="text1"/>
          <w:sz w:val="24"/>
          <w:szCs w:val="24"/>
          <w14:textFill>
            <w14:solidFill>
              <w14:schemeClr w14:val="tx1"/>
            </w14:solidFill>
          </w14:textFill>
        </w:rPr>
        <w:t>Ниш</w:t>
      </w:r>
      <w:r>
        <w:rPr>
          <w:color w:val="000000" w:themeColor="text1"/>
          <w:sz w:val="24"/>
          <w:szCs w:val="24"/>
          <w:lang w:val="sr-Cyrl-CS"/>
          <w14:textFill>
            <w14:solidFill>
              <w14:schemeClr w14:val="tx1"/>
            </w14:solidFill>
          </w14:textFill>
        </w:rPr>
        <w:t>,</w:t>
      </w:r>
      <w:r>
        <w:rPr>
          <w:color w:val="000000" w:themeColor="text1"/>
          <w:sz w:val="24"/>
          <w:szCs w:val="24"/>
          <w14:textFill>
            <w14:solidFill>
              <w14:schemeClr w14:val="tx1"/>
            </w14:solidFill>
          </w14:textFill>
        </w:rPr>
        <w:t xml:space="preserve"> ул.</w:t>
      </w:r>
      <w:r>
        <w:rPr>
          <w:color w:val="000000" w:themeColor="text1"/>
          <w:sz w:val="24"/>
          <w:szCs w:val="24"/>
          <w:lang w:val="sr-Cyrl-CS" w:eastAsia="sr-Latn-CS"/>
          <w14:textFill>
            <w14:solidFill>
              <w14:schemeClr w14:val="tx1"/>
            </w14:solidFill>
          </w14:textFill>
        </w:rPr>
        <w:t xml:space="preserve"> Цара Душана број 54, ПЦ Душанов базар, спрат 1, локал 119, електронска пошта: </w:t>
      </w:r>
      <w:r>
        <w:rPr>
          <w:color w:val="000000" w:themeColor="text1"/>
          <w:sz w:val="24"/>
          <w:szCs w:val="24"/>
          <w14:textFill>
            <w14:solidFill>
              <w14:schemeClr w14:val="tx1"/>
            </w14:solidFill>
          </w14:textFill>
        </w:rPr>
        <w:fldChar w:fldCharType="begin"/>
      </w:r>
      <w:r>
        <w:rPr>
          <w:color w:val="000000" w:themeColor="text1"/>
          <w:sz w:val="24"/>
          <w:szCs w:val="24"/>
          <w14:textFill>
            <w14:solidFill>
              <w14:schemeClr w14:val="tx1"/>
            </w14:solidFill>
          </w14:textFill>
        </w:rPr>
        <w:instrText xml:space="preserve"> HYPERLINK "mailto:unovcenje@gmail.com" </w:instrText>
      </w:r>
      <w:r>
        <w:rPr>
          <w:color w:val="000000" w:themeColor="text1"/>
          <w:sz w:val="24"/>
          <w:szCs w:val="24"/>
          <w14:textFill>
            <w14:solidFill>
              <w14:schemeClr w14:val="tx1"/>
            </w14:solidFill>
          </w14:textFill>
        </w:rPr>
        <w:fldChar w:fldCharType="separate"/>
      </w:r>
      <w:r>
        <w:rPr>
          <w:rStyle w:val="9"/>
          <w:color w:val="000000" w:themeColor="text1"/>
          <w:sz w:val="24"/>
          <w:szCs w:val="24"/>
          <w14:textFill>
            <w14:solidFill>
              <w14:schemeClr w14:val="tx1"/>
            </w14:solidFill>
          </w14:textFill>
        </w:rPr>
        <w:t>unovcenje@gmail.com</w:t>
      </w:r>
      <w:r>
        <w:rPr>
          <w:rStyle w:val="9"/>
          <w:color w:val="000000" w:themeColor="text1"/>
          <w:sz w:val="24"/>
          <w:szCs w:val="24"/>
          <w14:textFill>
            <w14:solidFill>
              <w14:schemeClr w14:val="tx1"/>
            </w14:solidFill>
          </w14:textFill>
        </w:rPr>
        <w:fldChar w:fldCharType="end"/>
      </w:r>
      <w:r>
        <w:rPr>
          <w:color w:val="000000" w:themeColor="text1"/>
          <w:sz w:val="24"/>
          <w:szCs w:val="24"/>
          <w14:textFill>
            <w14:solidFill>
              <w14:schemeClr w14:val="tx1"/>
            </w14:solidFill>
          </w14:textFill>
        </w:rPr>
        <w:t xml:space="preserve">, </w:t>
      </w:r>
      <w:r>
        <w:rPr>
          <w:color w:val="000000" w:themeColor="text1"/>
          <w:sz w:val="24"/>
          <w:szCs w:val="24"/>
          <w:lang w:val="sr-Cyrl-CS"/>
          <w14:textFill>
            <w14:solidFill>
              <w14:schemeClr w14:val="tx1"/>
            </w14:solidFill>
          </w14:textFill>
        </w:rPr>
        <w:t>контакт телефон: 063/456-320.</w:t>
      </w:r>
    </w:p>
    <w:p>
      <w:pPr>
        <w:jc w:val="both"/>
        <w:rPr>
          <w:color w:val="000000" w:themeColor="text1"/>
          <w:sz w:val="22"/>
          <w:szCs w:val="22"/>
          <w:lang w:val="sr-Cyrl-CS"/>
          <w14:textFill>
            <w14:solidFill>
              <w14:schemeClr w14:val="tx1"/>
            </w14:solidFill>
          </w14:textFill>
        </w:rPr>
      </w:pPr>
    </w:p>
    <w:p>
      <w:pPr>
        <w:jc w:val="right"/>
        <w:rPr>
          <w:color w:val="000000" w:themeColor="text1"/>
          <w:sz w:val="22"/>
          <w:szCs w:val="22"/>
          <w:lang w:val="sr-Cyrl-CS"/>
          <w14:textFill>
            <w14:solidFill>
              <w14:schemeClr w14:val="tx1"/>
            </w14:solidFill>
          </w14:textFill>
        </w:rPr>
      </w:pPr>
      <w:r>
        <w:rPr>
          <w:rFonts w:hint="default"/>
          <w:color w:val="000000" w:themeColor="text1"/>
          <w:sz w:val="22"/>
          <w:szCs w:val="22"/>
          <w:lang w:val="sr-Cyrl-RS"/>
          <w14:textFill>
            <w14:solidFill>
              <w14:schemeClr w14:val="tx1"/>
            </w14:solidFill>
          </w14:textFill>
        </w:rPr>
        <w:t xml:space="preserve">                                                                                   </w:t>
      </w:r>
    </w:p>
    <w:sectPr>
      <w:footerReference r:id="rId3" w:type="default"/>
      <w:footerReference r:id="rId4" w:type="even"/>
      <w:pgSz w:w="12240" w:h="15840"/>
      <w:pgMar w:top="851" w:right="1325" w:bottom="851" w:left="1276" w:header="708" w:footer="708" w:gutter="0"/>
      <w:cols w:space="708" w:num="1"/>
      <w:titlePg/>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0"/>
      </w:rPr>
    </w:pPr>
    <w:r>
      <w:rPr>
        <w:rStyle w:val="10"/>
      </w:rPr>
      <w:fldChar w:fldCharType="begin"/>
    </w:r>
    <w:r>
      <w:rPr>
        <w:rStyle w:val="10"/>
      </w:rPr>
      <w:instrText xml:space="preserve">PAGE  </w:instrText>
    </w:r>
    <w:r>
      <w:rPr>
        <w:rStyle w:val="10"/>
      </w:rPr>
      <w:fldChar w:fldCharType="separate"/>
    </w:r>
    <w:r>
      <w:rPr>
        <w:rStyle w:val="10"/>
      </w:rPr>
      <w:t>2</w:t>
    </w:r>
    <w:r>
      <w:rPr>
        <w:rStyle w:val="10"/>
      </w:rPr>
      <w:fldChar w:fldCharType="end"/>
    </w:r>
  </w:p>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0"/>
      </w:rPr>
    </w:pPr>
    <w:r>
      <w:rPr>
        <w:rStyle w:val="10"/>
      </w:rPr>
      <w:fldChar w:fldCharType="begin"/>
    </w:r>
    <w:r>
      <w:rPr>
        <w:rStyle w:val="10"/>
      </w:rPr>
      <w:instrText xml:space="preserve">PAGE  </w:instrText>
    </w:r>
    <w:r>
      <w:rPr>
        <w:rStyle w:val="10"/>
      </w:rPr>
      <w:fldChar w:fldCharType="end"/>
    </w:r>
  </w:p>
  <w:p>
    <w:pPr>
      <w:pStyle w:val="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40C419E"/>
    <w:multiLevelType w:val="singleLevel"/>
    <w:tmpl w:val="D40C419E"/>
    <w:lvl w:ilvl="0" w:tentative="0">
      <w:start w:val="1"/>
      <w:numFmt w:val="decimal"/>
      <w:suff w:val="space"/>
      <w:lvlText w:val="%1."/>
      <w:lvlJc w:val="left"/>
    </w:lvl>
  </w:abstractNum>
  <w:abstractNum w:abstractNumId="1">
    <w:nsid w:val="E52035AC"/>
    <w:multiLevelType w:val="singleLevel"/>
    <w:tmpl w:val="E52035AC"/>
    <w:lvl w:ilvl="0" w:tentative="0">
      <w:start w:val="1"/>
      <w:numFmt w:val="decimal"/>
      <w:suff w:val="space"/>
      <w:lvlText w:val="%1."/>
      <w:lvlJc w:val="left"/>
    </w:lvl>
  </w:abstractNum>
  <w:abstractNum w:abstractNumId="2">
    <w:nsid w:val="3A3C3E6D"/>
    <w:multiLevelType w:val="multilevel"/>
    <w:tmpl w:val="3A3C3E6D"/>
    <w:lvl w:ilvl="0" w:tentative="0">
      <w:start w:val="1"/>
      <w:numFmt w:val="decimal"/>
      <w:lvlText w:val="%1."/>
      <w:lvlJc w:val="left"/>
      <w:pPr>
        <w:tabs>
          <w:tab w:val="left" w:pos="720"/>
        </w:tabs>
        <w:ind w:left="72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3BB25D5A"/>
    <w:multiLevelType w:val="singleLevel"/>
    <w:tmpl w:val="3BB25D5A"/>
    <w:lvl w:ilvl="0" w:tentative="0">
      <w:start w:val="1"/>
      <w:numFmt w:val="decimal"/>
      <w:suff w:val="space"/>
      <w:lvlText w:val="%1."/>
      <w:lvlJc w:val="left"/>
    </w:lvl>
  </w:abstractNum>
  <w:num w:numId="1">
    <w:abstractNumId w:val="3"/>
  </w:num>
  <w:num w:numId="2">
    <w:abstractNumId w:val="0"/>
  </w:num>
  <w:num w:numId="3">
    <w:abstractNumId w:val="1"/>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hyphenationZone w:val="425"/>
  <w:displayHorizontalDrawingGridEvery w:val="1"/>
  <w:displayVerticalDrawingGridEvery w:val="1"/>
  <w:noPunctuationKerning w:val="1"/>
  <w:characterSpacingControl w:val="doNotCompress"/>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3A87"/>
    <w:rsid w:val="00000C27"/>
    <w:rsid w:val="00010C9E"/>
    <w:rsid w:val="00010D9B"/>
    <w:rsid w:val="00015C15"/>
    <w:rsid w:val="00020129"/>
    <w:rsid w:val="00023258"/>
    <w:rsid w:val="00026D57"/>
    <w:rsid w:val="00032BE8"/>
    <w:rsid w:val="000350E3"/>
    <w:rsid w:val="000356E9"/>
    <w:rsid w:val="00042159"/>
    <w:rsid w:val="0004574F"/>
    <w:rsid w:val="00050C05"/>
    <w:rsid w:val="00053EE9"/>
    <w:rsid w:val="00055D27"/>
    <w:rsid w:val="00056C08"/>
    <w:rsid w:val="00062F3B"/>
    <w:rsid w:val="00065ED2"/>
    <w:rsid w:val="000669B8"/>
    <w:rsid w:val="000678D0"/>
    <w:rsid w:val="000702E3"/>
    <w:rsid w:val="00075AA7"/>
    <w:rsid w:val="00076DC1"/>
    <w:rsid w:val="00077EC8"/>
    <w:rsid w:val="0009126E"/>
    <w:rsid w:val="00092233"/>
    <w:rsid w:val="00093B1B"/>
    <w:rsid w:val="00094DF8"/>
    <w:rsid w:val="000956FE"/>
    <w:rsid w:val="00097F0A"/>
    <w:rsid w:val="000A1452"/>
    <w:rsid w:val="000A2A35"/>
    <w:rsid w:val="000A57E1"/>
    <w:rsid w:val="000A67C2"/>
    <w:rsid w:val="000A7D78"/>
    <w:rsid w:val="000B06F3"/>
    <w:rsid w:val="000C0648"/>
    <w:rsid w:val="000C1546"/>
    <w:rsid w:val="000C5236"/>
    <w:rsid w:val="000C6236"/>
    <w:rsid w:val="000C7BA8"/>
    <w:rsid w:val="000D3E05"/>
    <w:rsid w:val="000D6360"/>
    <w:rsid w:val="000D7526"/>
    <w:rsid w:val="000E1993"/>
    <w:rsid w:val="000E2E49"/>
    <w:rsid w:val="000E34A9"/>
    <w:rsid w:val="000E47A2"/>
    <w:rsid w:val="000E4E80"/>
    <w:rsid w:val="000F03C5"/>
    <w:rsid w:val="000F22D2"/>
    <w:rsid w:val="000F2BF8"/>
    <w:rsid w:val="000F408D"/>
    <w:rsid w:val="0010540E"/>
    <w:rsid w:val="001208D6"/>
    <w:rsid w:val="00132A56"/>
    <w:rsid w:val="00134BA8"/>
    <w:rsid w:val="0013569A"/>
    <w:rsid w:val="00140E3E"/>
    <w:rsid w:val="001411DF"/>
    <w:rsid w:val="0014140B"/>
    <w:rsid w:val="00142A52"/>
    <w:rsid w:val="00152D4D"/>
    <w:rsid w:val="00155489"/>
    <w:rsid w:val="00165549"/>
    <w:rsid w:val="001671A3"/>
    <w:rsid w:val="00171620"/>
    <w:rsid w:val="00174DFD"/>
    <w:rsid w:val="0018046B"/>
    <w:rsid w:val="0018212D"/>
    <w:rsid w:val="00185A02"/>
    <w:rsid w:val="0019585F"/>
    <w:rsid w:val="00197D1B"/>
    <w:rsid w:val="001A4010"/>
    <w:rsid w:val="001A547A"/>
    <w:rsid w:val="001B2A1D"/>
    <w:rsid w:val="001B43D6"/>
    <w:rsid w:val="001B7D89"/>
    <w:rsid w:val="001C22FA"/>
    <w:rsid w:val="001C52A2"/>
    <w:rsid w:val="001E1EBC"/>
    <w:rsid w:val="001E28D2"/>
    <w:rsid w:val="001E2B74"/>
    <w:rsid w:val="001E4DFF"/>
    <w:rsid w:val="001E6761"/>
    <w:rsid w:val="001F6F23"/>
    <w:rsid w:val="001F7EF7"/>
    <w:rsid w:val="00204DA0"/>
    <w:rsid w:val="0021026C"/>
    <w:rsid w:val="0021359C"/>
    <w:rsid w:val="002154B3"/>
    <w:rsid w:val="00232AF2"/>
    <w:rsid w:val="00232BAE"/>
    <w:rsid w:val="00237A95"/>
    <w:rsid w:val="00241E2C"/>
    <w:rsid w:val="00244760"/>
    <w:rsid w:val="00264BA2"/>
    <w:rsid w:val="00266CA1"/>
    <w:rsid w:val="00272326"/>
    <w:rsid w:val="00276DC6"/>
    <w:rsid w:val="00280339"/>
    <w:rsid w:val="002930C2"/>
    <w:rsid w:val="00294176"/>
    <w:rsid w:val="002943A1"/>
    <w:rsid w:val="00294929"/>
    <w:rsid w:val="00295FB2"/>
    <w:rsid w:val="002A6083"/>
    <w:rsid w:val="002A7EEE"/>
    <w:rsid w:val="002B134F"/>
    <w:rsid w:val="002C1659"/>
    <w:rsid w:val="002C1F7A"/>
    <w:rsid w:val="002C3FF2"/>
    <w:rsid w:val="002D0AD2"/>
    <w:rsid w:val="002E6015"/>
    <w:rsid w:val="003016F0"/>
    <w:rsid w:val="003043BD"/>
    <w:rsid w:val="00305C84"/>
    <w:rsid w:val="003067AC"/>
    <w:rsid w:val="00313139"/>
    <w:rsid w:val="00315966"/>
    <w:rsid w:val="00321F7D"/>
    <w:rsid w:val="00323937"/>
    <w:rsid w:val="0032416C"/>
    <w:rsid w:val="00326A0F"/>
    <w:rsid w:val="00332A64"/>
    <w:rsid w:val="0034377E"/>
    <w:rsid w:val="00343ABC"/>
    <w:rsid w:val="00347CCB"/>
    <w:rsid w:val="00357739"/>
    <w:rsid w:val="00361516"/>
    <w:rsid w:val="00362E7E"/>
    <w:rsid w:val="00367900"/>
    <w:rsid w:val="0037111E"/>
    <w:rsid w:val="0037338E"/>
    <w:rsid w:val="00374D55"/>
    <w:rsid w:val="00384FC8"/>
    <w:rsid w:val="00391313"/>
    <w:rsid w:val="00391BDC"/>
    <w:rsid w:val="00394D10"/>
    <w:rsid w:val="003A15F1"/>
    <w:rsid w:val="003A4763"/>
    <w:rsid w:val="003A4D4D"/>
    <w:rsid w:val="003A5DD8"/>
    <w:rsid w:val="003B44A6"/>
    <w:rsid w:val="003B453C"/>
    <w:rsid w:val="003B575C"/>
    <w:rsid w:val="003B5B04"/>
    <w:rsid w:val="003C024B"/>
    <w:rsid w:val="003D055B"/>
    <w:rsid w:val="003D33C5"/>
    <w:rsid w:val="003D3578"/>
    <w:rsid w:val="003D753B"/>
    <w:rsid w:val="003E150D"/>
    <w:rsid w:val="003E17B5"/>
    <w:rsid w:val="003E6B71"/>
    <w:rsid w:val="003F40CD"/>
    <w:rsid w:val="003F6FA7"/>
    <w:rsid w:val="00403C56"/>
    <w:rsid w:val="004070D4"/>
    <w:rsid w:val="00416F23"/>
    <w:rsid w:val="00441A8F"/>
    <w:rsid w:val="0045251C"/>
    <w:rsid w:val="004615C5"/>
    <w:rsid w:val="004670BE"/>
    <w:rsid w:val="00473F69"/>
    <w:rsid w:val="00475F0F"/>
    <w:rsid w:val="00476DAE"/>
    <w:rsid w:val="00485878"/>
    <w:rsid w:val="00485E07"/>
    <w:rsid w:val="0048656D"/>
    <w:rsid w:val="00490899"/>
    <w:rsid w:val="00490918"/>
    <w:rsid w:val="0049339F"/>
    <w:rsid w:val="00497E10"/>
    <w:rsid w:val="004B1D2C"/>
    <w:rsid w:val="004C00C9"/>
    <w:rsid w:val="004C2D18"/>
    <w:rsid w:val="004C7C46"/>
    <w:rsid w:val="004E561F"/>
    <w:rsid w:val="004F52B5"/>
    <w:rsid w:val="005010F4"/>
    <w:rsid w:val="0050703B"/>
    <w:rsid w:val="00526E78"/>
    <w:rsid w:val="00530740"/>
    <w:rsid w:val="0053276A"/>
    <w:rsid w:val="00532FAA"/>
    <w:rsid w:val="005355B7"/>
    <w:rsid w:val="00544D45"/>
    <w:rsid w:val="005514A8"/>
    <w:rsid w:val="005536D4"/>
    <w:rsid w:val="00553EB9"/>
    <w:rsid w:val="00554DE6"/>
    <w:rsid w:val="00556FDA"/>
    <w:rsid w:val="0056565B"/>
    <w:rsid w:val="00566921"/>
    <w:rsid w:val="00574B2B"/>
    <w:rsid w:val="005845E6"/>
    <w:rsid w:val="00587E66"/>
    <w:rsid w:val="005A04BB"/>
    <w:rsid w:val="005A5217"/>
    <w:rsid w:val="005B1E99"/>
    <w:rsid w:val="005B53A7"/>
    <w:rsid w:val="005B6FF5"/>
    <w:rsid w:val="005C340B"/>
    <w:rsid w:val="005C36DB"/>
    <w:rsid w:val="005D0D28"/>
    <w:rsid w:val="005D36DC"/>
    <w:rsid w:val="005F54A6"/>
    <w:rsid w:val="005F6CEA"/>
    <w:rsid w:val="0062236F"/>
    <w:rsid w:val="006233A1"/>
    <w:rsid w:val="00623E67"/>
    <w:rsid w:val="006263B9"/>
    <w:rsid w:val="0062656E"/>
    <w:rsid w:val="00626E18"/>
    <w:rsid w:val="00631996"/>
    <w:rsid w:val="00635097"/>
    <w:rsid w:val="00636064"/>
    <w:rsid w:val="00641DF5"/>
    <w:rsid w:val="0064216F"/>
    <w:rsid w:val="006421AF"/>
    <w:rsid w:val="006448D3"/>
    <w:rsid w:val="00652295"/>
    <w:rsid w:val="0065553C"/>
    <w:rsid w:val="00657729"/>
    <w:rsid w:val="00660E71"/>
    <w:rsid w:val="00661EB3"/>
    <w:rsid w:val="006637B7"/>
    <w:rsid w:val="00666042"/>
    <w:rsid w:val="00672FD1"/>
    <w:rsid w:val="00676B0C"/>
    <w:rsid w:val="00677A32"/>
    <w:rsid w:val="0068088C"/>
    <w:rsid w:val="0069161E"/>
    <w:rsid w:val="00691BFD"/>
    <w:rsid w:val="00696CD5"/>
    <w:rsid w:val="0069736A"/>
    <w:rsid w:val="006A1E61"/>
    <w:rsid w:val="006A7246"/>
    <w:rsid w:val="006A74EF"/>
    <w:rsid w:val="006A75BA"/>
    <w:rsid w:val="006C288C"/>
    <w:rsid w:val="006C4C8A"/>
    <w:rsid w:val="006C4D65"/>
    <w:rsid w:val="006C7764"/>
    <w:rsid w:val="006D2A98"/>
    <w:rsid w:val="006D3C90"/>
    <w:rsid w:val="006E07AD"/>
    <w:rsid w:val="006E25D1"/>
    <w:rsid w:val="006E3BAB"/>
    <w:rsid w:val="006E5709"/>
    <w:rsid w:val="006E6CFE"/>
    <w:rsid w:val="006F3967"/>
    <w:rsid w:val="00702F8D"/>
    <w:rsid w:val="007053A2"/>
    <w:rsid w:val="0070795E"/>
    <w:rsid w:val="00717FD2"/>
    <w:rsid w:val="00723ECE"/>
    <w:rsid w:val="007317CA"/>
    <w:rsid w:val="00737081"/>
    <w:rsid w:val="00741F70"/>
    <w:rsid w:val="00743AC5"/>
    <w:rsid w:val="00747461"/>
    <w:rsid w:val="00751B36"/>
    <w:rsid w:val="007527A6"/>
    <w:rsid w:val="0075656F"/>
    <w:rsid w:val="00757308"/>
    <w:rsid w:val="007605E5"/>
    <w:rsid w:val="00762910"/>
    <w:rsid w:val="00762A12"/>
    <w:rsid w:val="00764D2F"/>
    <w:rsid w:val="0076501C"/>
    <w:rsid w:val="00766B7D"/>
    <w:rsid w:val="007744FD"/>
    <w:rsid w:val="00774E8A"/>
    <w:rsid w:val="00775BC7"/>
    <w:rsid w:val="00781EEB"/>
    <w:rsid w:val="00787217"/>
    <w:rsid w:val="007901BA"/>
    <w:rsid w:val="0079285F"/>
    <w:rsid w:val="007A0BD6"/>
    <w:rsid w:val="007A1559"/>
    <w:rsid w:val="007A285F"/>
    <w:rsid w:val="007A298A"/>
    <w:rsid w:val="007A38EE"/>
    <w:rsid w:val="007A623B"/>
    <w:rsid w:val="007B2DC2"/>
    <w:rsid w:val="007B5B7F"/>
    <w:rsid w:val="007B5DB3"/>
    <w:rsid w:val="007C0E60"/>
    <w:rsid w:val="007C12AD"/>
    <w:rsid w:val="007C52C1"/>
    <w:rsid w:val="007D14D1"/>
    <w:rsid w:val="007D43C9"/>
    <w:rsid w:val="007D69B5"/>
    <w:rsid w:val="007E2FEB"/>
    <w:rsid w:val="007F039F"/>
    <w:rsid w:val="007F1916"/>
    <w:rsid w:val="007F328D"/>
    <w:rsid w:val="007F3546"/>
    <w:rsid w:val="007F3857"/>
    <w:rsid w:val="007F6011"/>
    <w:rsid w:val="007F66B7"/>
    <w:rsid w:val="00802C41"/>
    <w:rsid w:val="00804F0D"/>
    <w:rsid w:val="00810AB2"/>
    <w:rsid w:val="00813A1C"/>
    <w:rsid w:val="00816379"/>
    <w:rsid w:val="00823842"/>
    <w:rsid w:val="008363A1"/>
    <w:rsid w:val="00836563"/>
    <w:rsid w:val="00837C8C"/>
    <w:rsid w:val="00842511"/>
    <w:rsid w:val="008425C2"/>
    <w:rsid w:val="008476C0"/>
    <w:rsid w:val="00850D53"/>
    <w:rsid w:val="008511A6"/>
    <w:rsid w:val="008517F1"/>
    <w:rsid w:val="008546BE"/>
    <w:rsid w:val="00857800"/>
    <w:rsid w:val="00864863"/>
    <w:rsid w:val="0086549F"/>
    <w:rsid w:val="00873097"/>
    <w:rsid w:val="00877E1D"/>
    <w:rsid w:val="00880E5E"/>
    <w:rsid w:val="0088423D"/>
    <w:rsid w:val="008855C5"/>
    <w:rsid w:val="00886F88"/>
    <w:rsid w:val="008A2103"/>
    <w:rsid w:val="008A2B4C"/>
    <w:rsid w:val="008A3C23"/>
    <w:rsid w:val="008A7A0A"/>
    <w:rsid w:val="008B1587"/>
    <w:rsid w:val="008B2B6A"/>
    <w:rsid w:val="008B69A9"/>
    <w:rsid w:val="008C76F2"/>
    <w:rsid w:val="008C7AC8"/>
    <w:rsid w:val="008D2023"/>
    <w:rsid w:val="008D2AF7"/>
    <w:rsid w:val="008D3FB5"/>
    <w:rsid w:val="008D42D8"/>
    <w:rsid w:val="008F15AC"/>
    <w:rsid w:val="008F286F"/>
    <w:rsid w:val="008F4124"/>
    <w:rsid w:val="008F476E"/>
    <w:rsid w:val="008F4DFB"/>
    <w:rsid w:val="008F54E8"/>
    <w:rsid w:val="008F5A9E"/>
    <w:rsid w:val="008F6632"/>
    <w:rsid w:val="0090573C"/>
    <w:rsid w:val="0090613C"/>
    <w:rsid w:val="009143AE"/>
    <w:rsid w:val="009241BF"/>
    <w:rsid w:val="0093161A"/>
    <w:rsid w:val="0094625E"/>
    <w:rsid w:val="009468C8"/>
    <w:rsid w:val="00957B02"/>
    <w:rsid w:val="0096066C"/>
    <w:rsid w:val="00960BCD"/>
    <w:rsid w:val="00962DB7"/>
    <w:rsid w:val="00972445"/>
    <w:rsid w:val="009731F1"/>
    <w:rsid w:val="00982FE9"/>
    <w:rsid w:val="00991B74"/>
    <w:rsid w:val="009946CE"/>
    <w:rsid w:val="0099519B"/>
    <w:rsid w:val="009A6F11"/>
    <w:rsid w:val="009B05B6"/>
    <w:rsid w:val="009B18B7"/>
    <w:rsid w:val="009B32E9"/>
    <w:rsid w:val="009B3D2E"/>
    <w:rsid w:val="009B56B0"/>
    <w:rsid w:val="009B6AAD"/>
    <w:rsid w:val="009C550A"/>
    <w:rsid w:val="009F017B"/>
    <w:rsid w:val="00A05DA8"/>
    <w:rsid w:val="00A12A93"/>
    <w:rsid w:val="00A160C3"/>
    <w:rsid w:val="00A206B9"/>
    <w:rsid w:val="00A262EF"/>
    <w:rsid w:val="00A3009F"/>
    <w:rsid w:val="00A34612"/>
    <w:rsid w:val="00A36FE8"/>
    <w:rsid w:val="00A4223E"/>
    <w:rsid w:val="00A4565F"/>
    <w:rsid w:val="00A46E87"/>
    <w:rsid w:val="00A50560"/>
    <w:rsid w:val="00A52F94"/>
    <w:rsid w:val="00A536F2"/>
    <w:rsid w:val="00A626AF"/>
    <w:rsid w:val="00A6382C"/>
    <w:rsid w:val="00A70BED"/>
    <w:rsid w:val="00A80E8C"/>
    <w:rsid w:val="00A814E1"/>
    <w:rsid w:val="00A82210"/>
    <w:rsid w:val="00A8544C"/>
    <w:rsid w:val="00A9097F"/>
    <w:rsid w:val="00A93B36"/>
    <w:rsid w:val="00A94B89"/>
    <w:rsid w:val="00A9585B"/>
    <w:rsid w:val="00A965DB"/>
    <w:rsid w:val="00AA0DAE"/>
    <w:rsid w:val="00AA0E76"/>
    <w:rsid w:val="00AA490A"/>
    <w:rsid w:val="00AA520D"/>
    <w:rsid w:val="00AA659F"/>
    <w:rsid w:val="00AA7E43"/>
    <w:rsid w:val="00AB3A1F"/>
    <w:rsid w:val="00AC0DD9"/>
    <w:rsid w:val="00AC109E"/>
    <w:rsid w:val="00AC6DFF"/>
    <w:rsid w:val="00AD440B"/>
    <w:rsid w:val="00AE1649"/>
    <w:rsid w:val="00AE42FF"/>
    <w:rsid w:val="00AE576F"/>
    <w:rsid w:val="00AE69EE"/>
    <w:rsid w:val="00AE7CB2"/>
    <w:rsid w:val="00AF1C3F"/>
    <w:rsid w:val="00AF3480"/>
    <w:rsid w:val="00AF6428"/>
    <w:rsid w:val="00B00E98"/>
    <w:rsid w:val="00B12035"/>
    <w:rsid w:val="00B17416"/>
    <w:rsid w:val="00B23AC9"/>
    <w:rsid w:val="00B25F3E"/>
    <w:rsid w:val="00B27E8E"/>
    <w:rsid w:val="00B33EA0"/>
    <w:rsid w:val="00B344F0"/>
    <w:rsid w:val="00B42AC5"/>
    <w:rsid w:val="00B44225"/>
    <w:rsid w:val="00B46EF4"/>
    <w:rsid w:val="00B4737B"/>
    <w:rsid w:val="00B51DEC"/>
    <w:rsid w:val="00B5272E"/>
    <w:rsid w:val="00B60DED"/>
    <w:rsid w:val="00B61BFF"/>
    <w:rsid w:val="00B61FFA"/>
    <w:rsid w:val="00B627CB"/>
    <w:rsid w:val="00B7106D"/>
    <w:rsid w:val="00B73314"/>
    <w:rsid w:val="00B773C3"/>
    <w:rsid w:val="00B81373"/>
    <w:rsid w:val="00B87720"/>
    <w:rsid w:val="00B87F0E"/>
    <w:rsid w:val="00B90432"/>
    <w:rsid w:val="00BA6939"/>
    <w:rsid w:val="00BB6308"/>
    <w:rsid w:val="00BC2DEE"/>
    <w:rsid w:val="00BC2F50"/>
    <w:rsid w:val="00BC6067"/>
    <w:rsid w:val="00BC6100"/>
    <w:rsid w:val="00BC6F72"/>
    <w:rsid w:val="00BD60CD"/>
    <w:rsid w:val="00BE566A"/>
    <w:rsid w:val="00BF3B86"/>
    <w:rsid w:val="00C01D27"/>
    <w:rsid w:val="00C05C14"/>
    <w:rsid w:val="00C05CB9"/>
    <w:rsid w:val="00C22FF1"/>
    <w:rsid w:val="00C25408"/>
    <w:rsid w:val="00C25460"/>
    <w:rsid w:val="00C27CEF"/>
    <w:rsid w:val="00C327AA"/>
    <w:rsid w:val="00C32B03"/>
    <w:rsid w:val="00C42EC6"/>
    <w:rsid w:val="00C43B5B"/>
    <w:rsid w:val="00C552AF"/>
    <w:rsid w:val="00C6278E"/>
    <w:rsid w:val="00C6586F"/>
    <w:rsid w:val="00C67BB8"/>
    <w:rsid w:val="00C67F63"/>
    <w:rsid w:val="00C714B3"/>
    <w:rsid w:val="00C7531D"/>
    <w:rsid w:val="00C76A75"/>
    <w:rsid w:val="00C824ED"/>
    <w:rsid w:val="00C8360E"/>
    <w:rsid w:val="00C84FB6"/>
    <w:rsid w:val="00C87EFF"/>
    <w:rsid w:val="00C93600"/>
    <w:rsid w:val="00C94170"/>
    <w:rsid w:val="00C971E4"/>
    <w:rsid w:val="00CA241F"/>
    <w:rsid w:val="00CA4260"/>
    <w:rsid w:val="00CB4672"/>
    <w:rsid w:val="00CB6601"/>
    <w:rsid w:val="00CB6626"/>
    <w:rsid w:val="00CC0B21"/>
    <w:rsid w:val="00CC4ADA"/>
    <w:rsid w:val="00CC6311"/>
    <w:rsid w:val="00CC70A3"/>
    <w:rsid w:val="00CD07AA"/>
    <w:rsid w:val="00CD4016"/>
    <w:rsid w:val="00CD58BA"/>
    <w:rsid w:val="00CD7E2B"/>
    <w:rsid w:val="00CE62FF"/>
    <w:rsid w:val="00CF3A87"/>
    <w:rsid w:val="00CF3A94"/>
    <w:rsid w:val="00CF5B23"/>
    <w:rsid w:val="00CF5EAB"/>
    <w:rsid w:val="00D032A3"/>
    <w:rsid w:val="00D03C0D"/>
    <w:rsid w:val="00D11F34"/>
    <w:rsid w:val="00D15D99"/>
    <w:rsid w:val="00D245C0"/>
    <w:rsid w:val="00D252FF"/>
    <w:rsid w:val="00D25611"/>
    <w:rsid w:val="00D26F04"/>
    <w:rsid w:val="00D27127"/>
    <w:rsid w:val="00D279B7"/>
    <w:rsid w:val="00D420D2"/>
    <w:rsid w:val="00D75802"/>
    <w:rsid w:val="00D84575"/>
    <w:rsid w:val="00D946AF"/>
    <w:rsid w:val="00D94B73"/>
    <w:rsid w:val="00D965A1"/>
    <w:rsid w:val="00D9742E"/>
    <w:rsid w:val="00D97B3F"/>
    <w:rsid w:val="00DA3B20"/>
    <w:rsid w:val="00DA5A3B"/>
    <w:rsid w:val="00DB2738"/>
    <w:rsid w:val="00DB29D9"/>
    <w:rsid w:val="00DB60D5"/>
    <w:rsid w:val="00DC0D75"/>
    <w:rsid w:val="00DC25BD"/>
    <w:rsid w:val="00DC3462"/>
    <w:rsid w:val="00DC53F0"/>
    <w:rsid w:val="00DC60BD"/>
    <w:rsid w:val="00DC6A6D"/>
    <w:rsid w:val="00DD01F6"/>
    <w:rsid w:val="00DD0793"/>
    <w:rsid w:val="00DD35AC"/>
    <w:rsid w:val="00DE00F1"/>
    <w:rsid w:val="00DE1204"/>
    <w:rsid w:val="00DF28F5"/>
    <w:rsid w:val="00DF2C86"/>
    <w:rsid w:val="00DF3556"/>
    <w:rsid w:val="00DF6FD8"/>
    <w:rsid w:val="00E068CE"/>
    <w:rsid w:val="00E11B85"/>
    <w:rsid w:val="00E12C93"/>
    <w:rsid w:val="00E1666B"/>
    <w:rsid w:val="00E27961"/>
    <w:rsid w:val="00E33DC5"/>
    <w:rsid w:val="00E372B0"/>
    <w:rsid w:val="00E44BA7"/>
    <w:rsid w:val="00E45476"/>
    <w:rsid w:val="00E50EE7"/>
    <w:rsid w:val="00E52C80"/>
    <w:rsid w:val="00E5332E"/>
    <w:rsid w:val="00E6069E"/>
    <w:rsid w:val="00E60A82"/>
    <w:rsid w:val="00E60DC8"/>
    <w:rsid w:val="00E613E1"/>
    <w:rsid w:val="00E639D6"/>
    <w:rsid w:val="00E6705E"/>
    <w:rsid w:val="00E7044F"/>
    <w:rsid w:val="00E71450"/>
    <w:rsid w:val="00E72D20"/>
    <w:rsid w:val="00E76959"/>
    <w:rsid w:val="00E84AC7"/>
    <w:rsid w:val="00E900E4"/>
    <w:rsid w:val="00E9595F"/>
    <w:rsid w:val="00E95AA4"/>
    <w:rsid w:val="00E96932"/>
    <w:rsid w:val="00E96CD9"/>
    <w:rsid w:val="00EA0436"/>
    <w:rsid w:val="00EA0710"/>
    <w:rsid w:val="00EA3886"/>
    <w:rsid w:val="00EA5EB5"/>
    <w:rsid w:val="00EB4155"/>
    <w:rsid w:val="00EB6A23"/>
    <w:rsid w:val="00EB6D20"/>
    <w:rsid w:val="00EC0B23"/>
    <w:rsid w:val="00EC219A"/>
    <w:rsid w:val="00EC3D1B"/>
    <w:rsid w:val="00EC4E9F"/>
    <w:rsid w:val="00EC5A5C"/>
    <w:rsid w:val="00EC66EB"/>
    <w:rsid w:val="00ED0F92"/>
    <w:rsid w:val="00ED1EAD"/>
    <w:rsid w:val="00ED2464"/>
    <w:rsid w:val="00ED3D87"/>
    <w:rsid w:val="00ED3E58"/>
    <w:rsid w:val="00ED563D"/>
    <w:rsid w:val="00ED66B2"/>
    <w:rsid w:val="00EF02AF"/>
    <w:rsid w:val="00EF4B76"/>
    <w:rsid w:val="00EF71B3"/>
    <w:rsid w:val="00F05FA4"/>
    <w:rsid w:val="00F06233"/>
    <w:rsid w:val="00F064A0"/>
    <w:rsid w:val="00F07EE1"/>
    <w:rsid w:val="00F220C0"/>
    <w:rsid w:val="00F255E3"/>
    <w:rsid w:val="00F27A0C"/>
    <w:rsid w:val="00F3537E"/>
    <w:rsid w:val="00F35F15"/>
    <w:rsid w:val="00F36CC5"/>
    <w:rsid w:val="00F36D13"/>
    <w:rsid w:val="00F405E2"/>
    <w:rsid w:val="00F66682"/>
    <w:rsid w:val="00F77C7F"/>
    <w:rsid w:val="00F90B9B"/>
    <w:rsid w:val="00F92902"/>
    <w:rsid w:val="00FA149B"/>
    <w:rsid w:val="00FA1C35"/>
    <w:rsid w:val="00FA3549"/>
    <w:rsid w:val="00FD348A"/>
    <w:rsid w:val="00FD78F1"/>
    <w:rsid w:val="00FE48E4"/>
    <w:rsid w:val="00FE5107"/>
    <w:rsid w:val="00FF1C7E"/>
    <w:rsid w:val="00FF5362"/>
    <w:rsid w:val="00FF7A44"/>
    <w:rsid w:val="025D4743"/>
    <w:rsid w:val="04C6342E"/>
    <w:rsid w:val="05250041"/>
    <w:rsid w:val="07790053"/>
    <w:rsid w:val="07812036"/>
    <w:rsid w:val="07C459AA"/>
    <w:rsid w:val="082D4E57"/>
    <w:rsid w:val="09A76BE4"/>
    <w:rsid w:val="0AB537C7"/>
    <w:rsid w:val="0B9A7958"/>
    <w:rsid w:val="0F77606B"/>
    <w:rsid w:val="0F8531AB"/>
    <w:rsid w:val="0FAB3042"/>
    <w:rsid w:val="10724405"/>
    <w:rsid w:val="123F697E"/>
    <w:rsid w:val="12483364"/>
    <w:rsid w:val="12E86732"/>
    <w:rsid w:val="1323348A"/>
    <w:rsid w:val="13C97218"/>
    <w:rsid w:val="14E93276"/>
    <w:rsid w:val="155E641B"/>
    <w:rsid w:val="17661273"/>
    <w:rsid w:val="17907E5E"/>
    <w:rsid w:val="17F16D38"/>
    <w:rsid w:val="1B8F3DB2"/>
    <w:rsid w:val="1CB864D8"/>
    <w:rsid w:val="1D66620B"/>
    <w:rsid w:val="1DF820CC"/>
    <w:rsid w:val="1FF63508"/>
    <w:rsid w:val="2137748C"/>
    <w:rsid w:val="228161A9"/>
    <w:rsid w:val="22D6063E"/>
    <w:rsid w:val="23C73B65"/>
    <w:rsid w:val="24346E74"/>
    <w:rsid w:val="24E95AE1"/>
    <w:rsid w:val="2569146F"/>
    <w:rsid w:val="25711DDF"/>
    <w:rsid w:val="27350995"/>
    <w:rsid w:val="2A347AF1"/>
    <w:rsid w:val="2A994002"/>
    <w:rsid w:val="2AB56D86"/>
    <w:rsid w:val="2C590041"/>
    <w:rsid w:val="2C8D2C2C"/>
    <w:rsid w:val="2D564E93"/>
    <w:rsid w:val="2DFC6681"/>
    <w:rsid w:val="2E641FC5"/>
    <w:rsid w:val="2F0E73C8"/>
    <w:rsid w:val="3159290B"/>
    <w:rsid w:val="317C5A24"/>
    <w:rsid w:val="31F032F0"/>
    <w:rsid w:val="32D70A63"/>
    <w:rsid w:val="35417A73"/>
    <w:rsid w:val="36EB4FAA"/>
    <w:rsid w:val="3A102AB9"/>
    <w:rsid w:val="3A66160F"/>
    <w:rsid w:val="3A7876F9"/>
    <w:rsid w:val="3AE77872"/>
    <w:rsid w:val="3BAF70FC"/>
    <w:rsid w:val="3CE31410"/>
    <w:rsid w:val="3D307C72"/>
    <w:rsid w:val="3D485717"/>
    <w:rsid w:val="3D9C7E4A"/>
    <w:rsid w:val="3DBA5A08"/>
    <w:rsid w:val="3E412892"/>
    <w:rsid w:val="3E6622F9"/>
    <w:rsid w:val="416A59DD"/>
    <w:rsid w:val="4187702E"/>
    <w:rsid w:val="420C337B"/>
    <w:rsid w:val="42162E1D"/>
    <w:rsid w:val="422E1692"/>
    <w:rsid w:val="432E7C48"/>
    <w:rsid w:val="445519BD"/>
    <w:rsid w:val="44F55F2E"/>
    <w:rsid w:val="45757C02"/>
    <w:rsid w:val="459A7D41"/>
    <w:rsid w:val="460F14C8"/>
    <w:rsid w:val="462753A7"/>
    <w:rsid w:val="462F66C3"/>
    <w:rsid w:val="469B52CB"/>
    <w:rsid w:val="46C06B94"/>
    <w:rsid w:val="4723522B"/>
    <w:rsid w:val="47FB3558"/>
    <w:rsid w:val="4831365C"/>
    <w:rsid w:val="4850293D"/>
    <w:rsid w:val="49164517"/>
    <w:rsid w:val="49441489"/>
    <w:rsid w:val="4A1A0E1C"/>
    <w:rsid w:val="4A2175D2"/>
    <w:rsid w:val="4B7424D9"/>
    <w:rsid w:val="4CDD7C2A"/>
    <w:rsid w:val="4FCB031E"/>
    <w:rsid w:val="50EA0B67"/>
    <w:rsid w:val="51D07D5D"/>
    <w:rsid w:val="5229579F"/>
    <w:rsid w:val="52CB2CAD"/>
    <w:rsid w:val="53A35EC5"/>
    <w:rsid w:val="56753A7F"/>
    <w:rsid w:val="569357FD"/>
    <w:rsid w:val="592D7A33"/>
    <w:rsid w:val="5C261EBA"/>
    <w:rsid w:val="5C3E7FB9"/>
    <w:rsid w:val="5C9517E0"/>
    <w:rsid w:val="5CF95864"/>
    <w:rsid w:val="5DDA486D"/>
    <w:rsid w:val="5F641113"/>
    <w:rsid w:val="5F9125F2"/>
    <w:rsid w:val="5FD22AC5"/>
    <w:rsid w:val="60C5436B"/>
    <w:rsid w:val="60FD2770"/>
    <w:rsid w:val="62955C9D"/>
    <w:rsid w:val="64A77E08"/>
    <w:rsid w:val="6557504A"/>
    <w:rsid w:val="65AC3514"/>
    <w:rsid w:val="67D15DBE"/>
    <w:rsid w:val="68042F0F"/>
    <w:rsid w:val="6AFC1420"/>
    <w:rsid w:val="6B1B46E3"/>
    <w:rsid w:val="6CBE48F7"/>
    <w:rsid w:val="6CE73073"/>
    <w:rsid w:val="6D81533E"/>
    <w:rsid w:val="6D865E3A"/>
    <w:rsid w:val="6DDD3AD6"/>
    <w:rsid w:val="6F2E3A1E"/>
    <w:rsid w:val="6F6D0774"/>
    <w:rsid w:val="710C0FFD"/>
    <w:rsid w:val="718E19C7"/>
    <w:rsid w:val="71946C18"/>
    <w:rsid w:val="72E940E5"/>
    <w:rsid w:val="74B82BA7"/>
    <w:rsid w:val="74EC0128"/>
    <w:rsid w:val="793612E5"/>
    <w:rsid w:val="79B0209F"/>
    <w:rsid w:val="7A803DD9"/>
    <w:rsid w:val="7A853E3D"/>
    <w:rsid w:val="7AFD55DA"/>
    <w:rsid w:val="7C323B0B"/>
    <w:rsid w:val="7C444257"/>
    <w:rsid w:val="7CDA1DE4"/>
    <w:rsid w:val="7D5741A9"/>
    <w:rsid w:val="7D922E51"/>
    <w:rsid w:val="7DE87763"/>
    <w:rsid w:val="7F1F0EFF"/>
    <w:rsid w:val="7F585D80"/>
    <w:rsid w:val="7FE86DB9"/>
  </w:rsids>
  <m:mathPr>
    <m:mathFont m:val="Cambria Math"/>
    <m:brkBin m:val="before"/>
    <m:brkBinSub m:val="--"/>
    <m:smallFrac m:val="0"/>
    <m:dispDef/>
    <m:lMargin m:val="0"/>
    <m:rMargin m:val="0"/>
    <m:defJc m:val="centerGroup"/>
    <m:wrapIndent m:val="1440"/>
    <m:intLim m:val="subSup"/>
    <m:naryLim m:val="undOvr"/>
  </m:mathPr>
  <w:themeFontLang w:val="sr-Latn-C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qFormat="1" w:unhideWhenUsed="0" w:uiPriority="60" w:semiHidden="0" w:name="Light Shading"/>
    <w:lsdException w:qFormat="1" w:unhideWhenUsed="0" w:uiPriority="61" w:semiHidden="0" w:name="Light List"/>
    <w:lsdException w:qFormat="1" w:unhideWhenUsed="0" w:uiPriority="62" w:semiHidden="0" w:name="Light Grid"/>
    <w:lsdException w:qFormat="1" w:unhideWhenUsed="0" w:uiPriority="63" w:semiHidden="0" w:name="Medium Shading 1"/>
    <w:lsdException w:unhideWhenUsed="0" w:uiPriority="64" w:semiHidden="0" w:name="Medium Shading 2"/>
    <w:lsdException w:qFormat="1" w:unhideWhenUsed="0" w:uiPriority="65" w:semiHidden="0" w:name="Medium List 1"/>
    <w:lsdException w:qFormat="1" w:unhideWhenUsed="0" w:uiPriority="66" w:semiHidden="0" w:name="Medium List 2"/>
    <w:lsdException w:qFormat="1" w:unhideWhenUsed="0" w:uiPriority="67" w:semiHidden="0" w:name="Medium Grid 1"/>
    <w:lsdException w:qFormat="1" w:unhideWhenUsed="0" w:uiPriority="68" w:semiHidden="0" w:name="Medium Grid 2"/>
    <w:lsdException w:qFormat="1" w:unhideWhenUsed="0" w:uiPriority="69" w:semiHidden="0" w:name="Medium Grid 3"/>
    <w:lsdException w:qFormat="1" w:unhideWhenUsed="0" w:uiPriority="70" w:semiHidden="0" w:name="Dark List"/>
    <w:lsdException w:qFormat="1" w:unhideWhenUsed="0" w:uiPriority="71" w:semiHidden="0" w:name="Colorful Shading"/>
    <w:lsdException w:qFormat="1" w:unhideWhenUsed="0" w:uiPriority="72" w:semiHidden="0" w:name="Colorful List"/>
    <w:lsdException w:unhideWhenUsed="0" w:uiPriority="73" w:semiHidden="0" w:name="Colorful Grid"/>
    <w:lsdException w:qFormat="1" w:unhideWhenUsed="0" w:uiPriority="60" w:semiHidden="0" w:name="Light Shading Accent 1"/>
    <w:lsdException w:qFormat="1" w:unhideWhenUsed="0" w:uiPriority="61" w:semiHidden="0" w:name="Light List Accent 1"/>
    <w:lsdException w:qFormat="1" w:unhideWhenUsed="0" w:uiPriority="62" w:semiHidden="0" w:name="Light Grid Accent 1"/>
    <w:lsdException w:qFormat="1" w:unhideWhenUsed="0" w:uiPriority="63" w:semiHidden="0" w:name="Medium Shading 1 Accent 1"/>
    <w:lsdException w:qFormat="1" w:unhideWhenUsed="0" w:uiPriority="64" w:semiHidden="0" w:name="Medium Shading 2 Accent 1"/>
    <w:lsdException w:qFormat="1" w:unhideWhenUsed="0" w:uiPriority="65" w:semiHidden="0" w:name="Medium List 1 Accent 1"/>
    <w:lsdException w:qFormat="1" w:unhideWhenUsed="0" w:uiPriority="34" w:semiHidden="0" w:name="List Paragraph"/>
    <w:lsdException w:qFormat="1" w:unhideWhenUsed="0" w:uiPriority="66" w:semiHidden="0" w:name="Medium List 2 Accent 1"/>
    <w:lsdException w:qFormat="1" w:unhideWhenUsed="0" w:uiPriority="67" w:semiHidden="0" w:name="Medium Grid 1 Accent 1"/>
    <w:lsdException w:qFormat="1" w:unhideWhenUsed="0" w:uiPriority="68" w:semiHidden="0" w:name="Medium Grid 2 Accent 1"/>
    <w:lsdException w:qFormat="1" w:unhideWhenUsed="0" w:uiPriority="69" w:semiHidden="0" w:name="Medium Grid 3 Accent 1"/>
    <w:lsdException w:qFormat="1" w:unhideWhenUsed="0" w:uiPriority="70" w:semiHidden="0" w:name="Dark List Accent 1"/>
    <w:lsdException w:qFormat="1" w:unhideWhenUsed="0" w:uiPriority="71" w:semiHidden="0" w:name="Colorful Shading Accent 1"/>
    <w:lsdException w:qFormat="1" w:unhideWhenUsed="0" w:uiPriority="72" w:semiHidden="0" w:name="Colorful List Accent 1"/>
    <w:lsdException w:unhideWhenUsed="0" w:uiPriority="73" w:semiHidden="0" w:name="Colorful Grid Accent 1"/>
    <w:lsdException w:qFormat="1" w:unhideWhenUsed="0" w:uiPriority="60" w:semiHidden="0" w:name="Light Shading Accent 2"/>
    <w:lsdException w:qFormat="1" w:unhideWhenUsed="0" w:uiPriority="61" w:semiHidden="0" w:name="Light List Accent 2"/>
    <w:lsdException w:qFormat="1" w:unhideWhenUsed="0" w:uiPriority="62" w:semiHidden="0" w:name="Light Grid Accent 2"/>
    <w:lsdException w:qFormat="1" w:unhideWhenUsed="0" w:uiPriority="63" w:semiHidden="0" w:name="Medium Shading 1 Accent 2"/>
    <w:lsdException w:qFormat="1" w:unhideWhenUsed="0" w:uiPriority="64" w:semiHidden="0" w:name="Medium Shading 2 Accent 2"/>
    <w:lsdException w:qFormat="1" w:unhideWhenUsed="0" w:uiPriority="65" w:semiHidden="0" w:name="Medium List 1 Accent 2"/>
    <w:lsdException w:qFormat="1" w:unhideWhenUsed="0" w:uiPriority="66" w:semiHidden="0" w:name="Medium List 2 Accent 2"/>
    <w:lsdException w:qFormat="1" w:unhideWhenUsed="0" w:uiPriority="67" w:semiHidden="0" w:name="Medium Grid 1 Accent 2"/>
    <w:lsdException w:qFormat="1" w:unhideWhenUsed="0" w:uiPriority="68" w:semiHidden="0" w:name="Medium Grid 2 Accent 2"/>
    <w:lsdException w:qFormat="1" w:unhideWhenUsed="0" w:uiPriority="69" w:semiHidden="0" w:name="Medium Grid 3 Accent 2"/>
    <w:lsdException w:qFormat="1" w:unhideWhenUsed="0" w:uiPriority="70" w:semiHidden="0" w:name="Dark List Accent 2"/>
    <w:lsdException w:qFormat="1" w:unhideWhenUsed="0" w:uiPriority="71" w:semiHidden="0" w:name="Colorful Shading Accent 2"/>
    <w:lsdException w:qFormat="1" w:unhideWhenUsed="0" w:uiPriority="72" w:semiHidden="0" w:name="Colorful List Accent 2"/>
    <w:lsdException w:unhideWhenUsed="0" w:uiPriority="73" w:semiHidden="0" w:name="Colorful Grid Accent 2"/>
    <w:lsdException w:qFormat="1" w:unhideWhenUsed="0" w:uiPriority="60" w:semiHidden="0" w:name="Light Shading Accent 3"/>
    <w:lsdException w:qFormat="1" w:unhideWhenUsed="0" w:uiPriority="61" w:semiHidden="0" w:name="Light List Accent 3"/>
    <w:lsdException w:qFormat="1" w:unhideWhenUsed="0" w:uiPriority="62" w:semiHidden="0" w:name="Light Grid Accent 3"/>
    <w:lsdException w:unhideWhenUsed="0" w:uiPriority="63" w:semiHidden="0" w:name="Medium Shading 1 Accent 3"/>
    <w:lsdException w:qFormat="1" w:unhideWhenUsed="0" w:uiPriority="64" w:semiHidden="0" w:name="Medium Shading 2 Accent 3"/>
    <w:lsdException w:qFormat="1" w:unhideWhenUsed="0" w:uiPriority="65" w:semiHidden="0" w:name="Medium List 1 Accent 3"/>
    <w:lsdException w:qFormat="1" w:unhideWhenUsed="0" w:uiPriority="66" w:semiHidden="0" w:name="Medium List 2 Accent 3"/>
    <w:lsdException w:qFormat="1" w:unhideWhenUsed="0" w:uiPriority="67" w:semiHidden="0" w:name="Medium Grid 1 Accent 3"/>
    <w:lsdException w:qFormat="1" w:unhideWhenUsed="0" w:uiPriority="68" w:semiHidden="0" w:name="Medium Grid 2 Accent 3"/>
    <w:lsdException w:qFormat="1" w:unhideWhenUsed="0" w:uiPriority="69" w:semiHidden="0" w:name="Medium Grid 3 Accent 3"/>
    <w:lsdException w:qFormat="1" w:unhideWhenUsed="0" w:uiPriority="70" w:semiHidden="0" w:name="Dark List Accent 3"/>
    <w:lsdException w:qFormat="1" w:unhideWhenUsed="0" w:uiPriority="71" w:semiHidden="0" w:name="Colorful Shading Accent 3"/>
    <w:lsdException w:qFormat="1" w:unhideWhenUsed="0" w:uiPriority="72" w:semiHidden="0" w:name="Colorful List Accent 3"/>
    <w:lsdException w:unhideWhenUsed="0" w:uiPriority="73" w:semiHidden="0" w:name="Colorful Grid Accent 3"/>
    <w:lsdException w:qFormat="1" w:unhideWhenUsed="0" w:uiPriority="60" w:semiHidden="0" w:name="Light Shading Accent 4"/>
    <w:lsdException w:qFormat="1" w:unhideWhenUsed="0" w:uiPriority="61" w:semiHidden="0" w:name="Light List Accent 4"/>
    <w:lsdException w:qFormat="1" w:unhideWhenUsed="0" w:uiPriority="62" w:semiHidden="0" w:name="Light Grid Accent 4"/>
    <w:lsdException w:qFormat="1" w:unhideWhenUsed="0" w:uiPriority="63" w:semiHidden="0" w:name="Medium Shading 1 Accent 4"/>
    <w:lsdException w:qFormat="1" w:unhideWhenUsed="0" w:uiPriority="64" w:semiHidden="0" w:name="Medium Shading 2 Accent 4"/>
    <w:lsdException w:qFormat="1" w:unhideWhenUsed="0" w:uiPriority="65" w:semiHidden="0" w:name="Medium List 1 Accent 4"/>
    <w:lsdException w:qFormat="1" w:unhideWhenUsed="0" w:uiPriority="66" w:semiHidden="0" w:name="Medium List 2 Accent 4"/>
    <w:lsdException w:qFormat="1" w:unhideWhenUsed="0" w:uiPriority="67" w:semiHidden="0" w:name="Medium Grid 1 Accent 4"/>
    <w:lsdException w:qFormat="1" w:unhideWhenUsed="0" w:uiPriority="68" w:semiHidden="0" w:name="Medium Grid 2 Accent 4"/>
    <w:lsdException w:qFormat="1" w:unhideWhenUsed="0" w:uiPriority="69" w:semiHidden="0" w:name="Medium Grid 3 Accent 4"/>
    <w:lsdException w:qFormat="1" w:unhideWhenUsed="0" w:uiPriority="70" w:semiHidden="0" w:name="Dark List Accent 4"/>
    <w:lsdException w:qFormat="1" w:unhideWhenUsed="0" w:uiPriority="71" w:semiHidden="0" w:name="Colorful Shading Accent 4"/>
    <w:lsdException w:qFormat="1" w:unhideWhenUsed="0" w:uiPriority="72" w:semiHidden="0" w:name="Colorful List Accent 4"/>
    <w:lsdException w:unhideWhenUsed="0" w:uiPriority="73" w:semiHidden="0" w:name="Colorful Grid Accent 4"/>
    <w:lsdException w:qFormat="1" w:unhideWhenUsed="0" w:uiPriority="60" w:semiHidden="0" w:name="Light Shading Accent 5"/>
    <w:lsdException w:qFormat="1" w:unhideWhenUsed="0" w:uiPriority="61" w:semiHidden="0" w:name="Light List Accent 5"/>
    <w:lsdException w:qFormat="1" w:unhideWhenUsed="0" w:uiPriority="62" w:semiHidden="0" w:name="Light Grid Accent 5"/>
    <w:lsdException w:qFormat="1" w:unhideWhenUsed="0" w:uiPriority="63" w:semiHidden="0" w:name="Medium Shading 1 Accent 5"/>
    <w:lsdException w:qFormat="1" w:unhideWhenUsed="0" w:uiPriority="64" w:semiHidden="0" w:name="Medium Shading 2 Accent 5"/>
    <w:lsdException w:qFormat="1" w:unhideWhenUsed="0" w:uiPriority="65" w:semiHidden="0" w:name="Medium List 1 Accent 5"/>
    <w:lsdException w:qFormat="1" w:unhideWhenUsed="0" w:uiPriority="66" w:semiHidden="0" w:name="Medium List 2 Accent 5"/>
    <w:lsdException w:qFormat="1" w:unhideWhenUsed="0" w:uiPriority="67" w:semiHidden="0" w:name="Medium Grid 1 Accent 5"/>
    <w:lsdException w:qFormat="1" w:unhideWhenUsed="0" w:uiPriority="68" w:semiHidden="0" w:name="Medium Grid 2 Accent 5"/>
    <w:lsdException w:qFormat="1" w:unhideWhenUsed="0" w:uiPriority="69" w:semiHidden="0" w:name="Medium Grid 3 Accent 5"/>
    <w:lsdException w:qFormat="1" w:unhideWhenUsed="0" w:uiPriority="70" w:semiHidden="0" w:name="Dark List Accent 5"/>
    <w:lsdException w:qFormat="1" w:unhideWhenUsed="0" w:uiPriority="71" w:semiHidden="0" w:name="Colorful Shading Accent 5"/>
    <w:lsdException w:qFormat="1" w:unhideWhenUsed="0" w:uiPriority="72" w:semiHidden="0" w:name="Colorful List Accent 5"/>
    <w:lsdException w:unhideWhenUsed="0" w:uiPriority="73" w:semiHidden="0" w:name="Colorful Grid Accent 5"/>
    <w:lsdException w:qFormat="1" w:unhideWhenUsed="0" w:uiPriority="60" w:semiHidden="0" w:name="Light Shading Accent 6"/>
    <w:lsdException w:qFormat="1" w:unhideWhenUsed="0" w:uiPriority="61" w:semiHidden="0" w:name="Light List Accent 6"/>
    <w:lsdException w:qFormat="1" w:unhideWhenUsed="0" w:uiPriority="62" w:semiHidden="0" w:name="Light Grid Accent 6"/>
    <w:lsdException w:qFormat="1" w:unhideWhenUsed="0" w:uiPriority="63" w:semiHidden="0" w:name="Medium Shading 1 Accent 6"/>
    <w:lsdException w:qFormat="1" w:unhideWhenUsed="0" w:uiPriority="64" w:semiHidden="0" w:name="Medium Shading 2 Accent 6"/>
    <w:lsdException w:qFormat="1" w:unhideWhenUsed="0" w:uiPriority="65" w:semiHidden="0" w:name="Medium List 1 Accent 6"/>
    <w:lsdException w:qFormat="1" w:unhideWhenUsed="0" w:uiPriority="66" w:semiHidden="0" w:name="Medium List 2 Accent 6"/>
    <w:lsdException w:qFormat="1" w:unhideWhenUsed="0" w:uiPriority="67" w:semiHidden="0" w:name="Medium Grid 1 Accent 6"/>
    <w:lsdException w:qFormat="1" w:unhideWhenUsed="0" w:uiPriority="68" w:semiHidden="0" w:name="Medium Grid 2 Accent 6"/>
    <w:lsdException w:qFormat="1" w:unhideWhenUsed="0" w:uiPriority="69" w:semiHidden="0" w:name="Medium Grid 3 Accent 6"/>
    <w:lsdException w:qFormat="1" w:unhideWhenUsed="0" w:uiPriority="70" w:semiHidden="0" w:name="Dark List Accent 6"/>
    <w:lsdException w:qFormat="1"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en-US" w:bidi="ar-SA"/>
    </w:rPr>
  </w:style>
  <w:style w:type="paragraph" w:styleId="2">
    <w:name w:val="heading 3"/>
    <w:next w:val="1"/>
    <w:unhideWhenUsed/>
    <w:qFormat/>
    <w:uiPriority w:val="9"/>
    <w:pPr>
      <w:spacing w:before="100" w:beforeAutospacing="1" w:after="100" w:afterAutospacing="1"/>
      <w:jc w:val="left"/>
      <w:outlineLvl w:val="2"/>
    </w:pPr>
    <w:rPr>
      <w:rFonts w:hint="eastAsia" w:ascii="SimSun" w:hAnsi="SimSun" w:eastAsia="SimSun" w:cs="SimSun"/>
      <w:b/>
      <w:bCs/>
      <w:kern w:val="0"/>
      <w:sz w:val="26"/>
      <w:szCs w:val="26"/>
      <w:lang w:val="en-US" w:eastAsia="zh-CN" w:bidi="ar"/>
    </w:rPr>
  </w:style>
  <w:style w:type="character" w:default="1" w:styleId="3">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5">
    <w:name w:val="Balloon Text"/>
    <w:basedOn w:val="1"/>
    <w:semiHidden/>
    <w:qFormat/>
    <w:uiPriority w:val="0"/>
    <w:rPr>
      <w:rFonts w:ascii="Tahoma" w:hAnsi="Tahoma" w:cs="Tahoma"/>
      <w:sz w:val="16"/>
      <w:szCs w:val="16"/>
    </w:rPr>
  </w:style>
  <w:style w:type="paragraph" w:styleId="6">
    <w:name w:val="Body Text"/>
    <w:basedOn w:val="1"/>
    <w:qFormat/>
    <w:uiPriority w:val="0"/>
    <w:pPr>
      <w:jc w:val="both"/>
    </w:pPr>
    <w:rPr>
      <w:b/>
      <w:color w:val="0000FF"/>
      <w:lang w:val="sr-Cyrl-CS"/>
    </w:rPr>
  </w:style>
  <w:style w:type="paragraph" w:styleId="7">
    <w:name w:val="footer"/>
    <w:basedOn w:val="1"/>
    <w:qFormat/>
    <w:uiPriority w:val="0"/>
    <w:pPr>
      <w:tabs>
        <w:tab w:val="center" w:pos="4535"/>
        <w:tab w:val="right" w:pos="9071"/>
      </w:tabs>
    </w:pPr>
  </w:style>
  <w:style w:type="paragraph" w:styleId="8">
    <w:name w:val="header"/>
    <w:basedOn w:val="1"/>
    <w:qFormat/>
    <w:uiPriority w:val="0"/>
    <w:pPr>
      <w:tabs>
        <w:tab w:val="center" w:pos="4320"/>
        <w:tab w:val="right" w:pos="8640"/>
      </w:tabs>
    </w:pPr>
    <w:rPr>
      <w:sz w:val="20"/>
      <w:szCs w:val="20"/>
    </w:rPr>
  </w:style>
  <w:style w:type="character" w:styleId="9">
    <w:name w:val="Hyperlink"/>
    <w:basedOn w:val="3"/>
    <w:qFormat/>
    <w:uiPriority w:val="0"/>
    <w:rPr>
      <w:color w:val="0000FF" w:themeColor="hyperlink"/>
      <w:u w:val="single"/>
      <w14:textFill>
        <w14:solidFill>
          <w14:schemeClr w14:val="hlink"/>
        </w14:solidFill>
      </w14:textFill>
    </w:rPr>
  </w:style>
  <w:style w:type="character" w:styleId="10">
    <w:name w:val="page number"/>
    <w:basedOn w:val="3"/>
    <w:qFormat/>
    <w:uiPriority w:val="0"/>
  </w:style>
  <w:style w:type="character" w:styleId="11">
    <w:name w:val="Strong"/>
    <w:basedOn w:val="3"/>
    <w:qFormat/>
    <w:uiPriority w:val="22"/>
    <w:rPr>
      <w:b/>
      <w:bCs/>
    </w:rPr>
  </w:style>
  <w:style w:type="table" w:styleId="12">
    <w:name w:val="Table Grid"/>
    <w:basedOn w:val="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13">
    <w:name w:val="List Paragraph"/>
    <w:basedOn w:val="1"/>
    <w:qFormat/>
    <w:uiPriority w:val="34"/>
    <w:pPr>
      <w:ind w:left="720"/>
      <w:contextualSpacing/>
    </w:pPr>
  </w:style>
  <w:style w:type="character" w:customStyle="1" w:styleId="14">
    <w:name w:val="go"/>
    <w:basedOn w:val="3"/>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pa</Company>
  <Pages>4</Pages>
  <Words>1503</Words>
  <Characters>8573</Characters>
  <Lines>71</Lines>
  <Paragraphs>20</Paragraphs>
  <TotalTime>12</TotalTime>
  <ScaleCrop>false</ScaleCrop>
  <LinksUpToDate>false</LinksUpToDate>
  <CharactersWithSpaces>10056</CharactersWithSpaces>
  <Application>WPS Office_12.2.0.13266_F1E327BC-269C-435d-A152-05C5408002CA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2022-04-01T06:59:00Z</dcterms:created>
  <dc:creator>RAZVOJ</dc:creator>
  <cp:lastModifiedBy>Miroslav Kostic</cp:lastModifiedBy>
  <cp:lastPrinted>2023-10-24T08:06:19Z</cp:lastPrinted>
  <dcterms:modified xsi:type="dcterms:W3CDTF">2023-10-24T08:08:40Z</dcterms:modified>
  <dc:title>На основу закључка стечајног судије Трговинског суда у ________________, број предмета Ст</dc:title>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1033-12.2.0.13266</vt:lpwstr>
  </property>
  <property fmtid="{D5CDD505-2E9C-101B-9397-08002B2CF9AE}" pid="3" name="ICV">
    <vt:lpwstr>05D0B697014F40148D08079F26E299F9_13</vt:lpwstr>
  </property>
</Properties>
</file>